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DC" w:rsidRPr="00C14C6C" w:rsidRDefault="00112CDC" w:rsidP="00112CDC">
      <w:pPr>
        <w:pStyle w:val="Ttulo1"/>
        <w:ind w:firstLine="708"/>
        <w:jc w:val="both"/>
        <w:rPr>
          <w:rFonts w:ascii="Calibri" w:hAnsi="Calibri"/>
          <w:b w:val="0"/>
          <w:i w:val="0"/>
          <w:color w:val="7F7F7F" w:themeColor="text1" w:themeTint="80"/>
          <w:sz w:val="26"/>
          <w:szCs w:val="27"/>
        </w:rPr>
      </w:pPr>
      <w:r w:rsidRPr="00C14C6C">
        <w:rPr>
          <w:rFonts w:ascii="Calibri" w:hAnsi="Calibri"/>
          <w:i w:val="0"/>
          <w:color w:val="7F7F7F" w:themeColor="text1" w:themeTint="80"/>
          <w:sz w:val="26"/>
          <w:szCs w:val="27"/>
        </w:rPr>
        <w:t xml:space="preserve">León, Guanajuato, a </w:t>
      </w:r>
      <w:r>
        <w:rPr>
          <w:rFonts w:ascii="Calibri" w:hAnsi="Calibri"/>
          <w:i w:val="0"/>
          <w:color w:val="7F7F7F" w:themeColor="text1" w:themeTint="80"/>
          <w:sz w:val="26"/>
          <w:szCs w:val="27"/>
        </w:rPr>
        <w:t>30 treinta</w:t>
      </w:r>
      <w:r w:rsidRPr="00C14C6C">
        <w:rPr>
          <w:rFonts w:ascii="Calibri" w:hAnsi="Calibri"/>
          <w:i w:val="0"/>
          <w:color w:val="7F7F7F" w:themeColor="text1" w:themeTint="80"/>
          <w:sz w:val="26"/>
          <w:szCs w:val="27"/>
        </w:rPr>
        <w:t xml:space="preserve"> de octubre del año 2015 dos mil quince</w:t>
      </w:r>
      <w:r>
        <w:rPr>
          <w:rFonts w:ascii="Calibri" w:hAnsi="Calibri"/>
          <w:b w:val="0"/>
          <w:bCs w:val="0"/>
          <w:i w:val="0"/>
          <w:iCs w:val="0"/>
          <w:color w:val="7F7F7F" w:themeColor="text1" w:themeTint="80"/>
          <w:sz w:val="26"/>
          <w:szCs w:val="27"/>
        </w:rPr>
        <w:t xml:space="preserve">. . .  </w:t>
      </w:r>
    </w:p>
    <w:p w:rsidR="00112CDC" w:rsidRPr="00C14C6C" w:rsidRDefault="00112CDC" w:rsidP="00112CDC">
      <w:pPr>
        <w:rPr>
          <w:rFonts w:ascii="Calibri" w:hAnsi="Calibri"/>
          <w:color w:val="7F7F7F" w:themeColor="text1" w:themeTint="80"/>
          <w:sz w:val="22"/>
          <w:szCs w:val="27"/>
          <w:lang w:val="es-MX"/>
        </w:rPr>
      </w:pPr>
    </w:p>
    <w:p w:rsidR="00112CDC" w:rsidRPr="00C14C6C" w:rsidRDefault="00112CDC" w:rsidP="00112CDC">
      <w:pPr>
        <w:pStyle w:val="Ttulo1"/>
        <w:ind w:firstLine="708"/>
        <w:jc w:val="both"/>
        <w:rPr>
          <w:rFonts w:ascii="Calibri" w:hAnsi="Calibri" w:cs="Arial"/>
          <w:color w:val="7F7F7F" w:themeColor="text1" w:themeTint="80"/>
          <w:sz w:val="26"/>
          <w:szCs w:val="27"/>
        </w:rPr>
      </w:pPr>
      <w:r w:rsidRPr="00C14C6C">
        <w:rPr>
          <w:rFonts w:ascii="Calibri" w:hAnsi="Calibri" w:cs="Arial"/>
          <w:color w:val="7F7F7F" w:themeColor="text1" w:themeTint="80"/>
          <w:sz w:val="26"/>
          <w:szCs w:val="27"/>
        </w:rPr>
        <w:t xml:space="preserve">V I S T O S </w:t>
      </w:r>
      <w:r w:rsidRPr="00C14C6C">
        <w:rPr>
          <w:rFonts w:ascii="Calibri" w:hAnsi="Calibri" w:cs="Arial"/>
          <w:b w:val="0"/>
          <w:i w:val="0"/>
          <w:color w:val="7F7F7F" w:themeColor="text1" w:themeTint="80"/>
          <w:sz w:val="26"/>
          <w:szCs w:val="27"/>
        </w:rPr>
        <w:t xml:space="preserve">para dictar sentencia definitiva, los autos del proceso administrativo identificado con el número </w:t>
      </w:r>
      <w:bookmarkStart w:id="0" w:name="_GoBack"/>
      <w:r w:rsidRPr="00C14C6C">
        <w:rPr>
          <w:rFonts w:ascii="Calibri" w:hAnsi="Calibri" w:cs="Arial"/>
          <w:i w:val="0"/>
          <w:color w:val="7F7F7F" w:themeColor="text1" w:themeTint="80"/>
          <w:sz w:val="26"/>
          <w:szCs w:val="27"/>
        </w:rPr>
        <w:t>618/2013-JN</w:t>
      </w:r>
      <w:bookmarkEnd w:id="0"/>
      <w:r w:rsidRPr="00C14C6C">
        <w:rPr>
          <w:rFonts w:ascii="Calibri" w:hAnsi="Calibri" w:cs="Arial"/>
          <w:b w:val="0"/>
          <w:i w:val="0"/>
          <w:color w:val="7F7F7F" w:themeColor="text1" w:themeTint="80"/>
          <w:sz w:val="26"/>
          <w:szCs w:val="27"/>
        </w:rPr>
        <w:t>, promovido por el ciudadano</w:t>
      </w:r>
      <w:r>
        <w:rPr>
          <w:rFonts w:ascii="Calibri" w:hAnsi="Calibri" w:cs="Arial"/>
          <w:b w:val="0"/>
          <w:i w:val="0"/>
          <w:color w:val="7F7F7F" w:themeColor="text1" w:themeTint="80"/>
          <w:sz w:val="26"/>
          <w:szCs w:val="27"/>
        </w:rPr>
        <w:t xml:space="preserve"> </w:t>
      </w:r>
      <w:proofErr w:type="gramStart"/>
      <w:r>
        <w:rPr>
          <w:rFonts w:ascii="Calibri" w:hAnsi="Calibri" w:cs="Arial"/>
          <w:i w:val="0"/>
          <w:color w:val="7F7F7F" w:themeColor="text1" w:themeTint="80"/>
          <w:sz w:val="26"/>
          <w:szCs w:val="27"/>
        </w:rPr>
        <w:t>(....</w:t>
      </w:r>
      <w:proofErr w:type="gramEnd"/>
      <w:r>
        <w:rPr>
          <w:rFonts w:ascii="Calibri" w:hAnsi="Calibri" w:cs="Arial"/>
          <w:i w:val="0"/>
          <w:color w:val="7F7F7F" w:themeColor="text1" w:themeTint="80"/>
          <w:sz w:val="26"/>
          <w:szCs w:val="27"/>
        </w:rPr>
        <w:t>.)</w:t>
      </w:r>
      <w:r w:rsidRPr="00C14C6C">
        <w:rPr>
          <w:rFonts w:ascii="Calibri" w:hAnsi="Calibri" w:cs="Arial"/>
          <w:color w:val="7F7F7F" w:themeColor="text1" w:themeTint="80"/>
          <w:sz w:val="26"/>
          <w:szCs w:val="27"/>
        </w:rPr>
        <w:t xml:space="preserve">; y,. . . . . . . . . . . . . . . . . . . . . . . . . . . . . . . . . </w:t>
      </w:r>
      <w:r>
        <w:rPr>
          <w:rFonts w:ascii="Calibri" w:hAnsi="Calibri" w:cs="Arial"/>
          <w:color w:val="7F7F7F" w:themeColor="text1" w:themeTint="80"/>
          <w:sz w:val="26"/>
          <w:szCs w:val="27"/>
        </w:rPr>
        <w:t>. . . . .</w:t>
      </w:r>
    </w:p>
    <w:p w:rsidR="00112CDC" w:rsidRPr="00C14C6C" w:rsidRDefault="00112CDC" w:rsidP="00112CDC">
      <w:pPr>
        <w:pStyle w:val="Textoindependiente"/>
        <w:rPr>
          <w:rFonts w:ascii="Calibri" w:hAnsi="Calibri" w:cs="Arial"/>
          <w:color w:val="7F7F7F" w:themeColor="text1" w:themeTint="80"/>
          <w:sz w:val="22"/>
          <w:szCs w:val="27"/>
        </w:rPr>
      </w:pPr>
    </w:p>
    <w:p w:rsidR="00112CDC" w:rsidRPr="00C14C6C" w:rsidRDefault="00112CDC" w:rsidP="00112CDC">
      <w:pPr>
        <w:pStyle w:val="Textoindependiente"/>
        <w:ind w:firstLine="708"/>
        <w:jc w:val="center"/>
        <w:rPr>
          <w:rFonts w:ascii="Calibri" w:hAnsi="Calibri" w:cs="Arial"/>
          <w:b/>
          <w:bCs/>
          <w:i/>
          <w:iCs/>
          <w:color w:val="7F7F7F" w:themeColor="text1" w:themeTint="80"/>
          <w:sz w:val="26"/>
          <w:szCs w:val="27"/>
        </w:rPr>
      </w:pPr>
      <w:r w:rsidRPr="00C14C6C">
        <w:rPr>
          <w:rFonts w:ascii="Calibri" w:hAnsi="Calibri" w:cs="Arial"/>
          <w:b/>
          <w:bCs/>
          <w:i/>
          <w:iCs/>
          <w:color w:val="7F7F7F" w:themeColor="text1" w:themeTint="80"/>
          <w:sz w:val="26"/>
          <w:szCs w:val="27"/>
        </w:rPr>
        <w:t xml:space="preserve">R E S U L T A N D </w:t>
      </w:r>
      <w:proofErr w:type="gramStart"/>
      <w:r w:rsidRPr="00C14C6C">
        <w:rPr>
          <w:rFonts w:ascii="Calibri" w:hAnsi="Calibri" w:cs="Arial"/>
          <w:b/>
          <w:bCs/>
          <w:i/>
          <w:iCs/>
          <w:color w:val="7F7F7F" w:themeColor="text1" w:themeTint="80"/>
          <w:sz w:val="26"/>
          <w:szCs w:val="27"/>
        </w:rPr>
        <w:t>O :</w:t>
      </w:r>
      <w:proofErr w:type="gramEnd"/>
    </w:p>
    <w:p w:rsidR="00112CDC" w:rsidRPr="00C14C6C" w:rsidRDefault="00112CDC" w:rsidP="00112CDC">
      <w:pPr>
        <w:pStyle w:val="Textoindependiente"/>
        <w:rPr>
          <w:rFonts w:ascii="Calibri" w:hAnsi="Calibri" w:cs="Arial"/>
          <w:b/>
          <w:bCs/>
          <w:color w:val="7F7F7F" w:themeColor="text1" w:themeTint="80"/>
          <w:sz w:val="22"/>
          <w:szCs w:val="27"/>
        </w:rPr>
      </w:pPr>
    </w:p>
    <w:p w:rsidR="00112CDC" w:rsidRPr="00C14C6C" w:rsidRDefault="00112CDC" w:rsidP="00112CDC">
      <w:pPr>
        <w:ind w:firstLine="708"/>
        <w:jc w:val="both"/>
        <w:rPr>
          <w:rFonts w:ascii="Calibri" w:hAnsi="Calibri"/>
          <w:color w:val="7F7F7F" w:themeColor="text1" w:themeTint="80"/>
          <w:sz w:val="26"/>
          <w:szCs w:val="27"/>
        </w:rPr>
      </w:pPr>
      <w:proofErr w:type="gramStart"/>
      <w:r w:rsidRPr="00C14C6C">
        <w:rPr>
          <w:rFonts w:ascii="Calibri" w:hAnsi="Calibri" w:cs="Arial"/>
          <w:b/>
          <w:bCs/>
          <w:i/>
          <w:iCs/>
          <w:color w:val="7F7F7F" w:themeColor="text1" w:themeTint="80"/>
          <w:sz w:val="26"/>
          <w:szCs w:val="27"/>
        </w:rPr>
        <w:t>PRIMERO.-</w:t>
      </w:r>
      <w:proofErr w:type="gramEnd"/>
      <w:r w:rsidRPr="00C14C6C">
        <w:rPr>
          <w:rFonts w:ascii="Calibri" w:hAnsi="Calibri" w:cs="Arial"/>
          <w:b/>
          <w:bCs/>
          <w:i/>
          <w:iCs/>
          <w:color w:val="7F7F7F" w:themeColor="text1" w:themeTint="80"/>
          <w:sz w:val="26"/>
          <w:szCs w:val="27"/>
        </w:rPr>
        <w:t xml:space="preserve"> </w:t>
      </w:r>
      <w:r w:rsidRPr="00C14C6C">
        <w:rPr>
          <w:rFonts w:ascii="Calibri" w:hAnsi="Calibri"/>
          <w:color w:val="7F7F7F" w:themeColor="text1" w:themeTint="80"/>
          <w:sz w:val="26"/>
          <w:szCs w:val="26"/>
        </w:rPr>
        <w:t>Mediante escrito de demanda administrativa, presentado el día 6 s</w:t>
      </w:r>
      <w:r>
        <w:rPr>
          <w:rFonts w:ascii="Calibri" w:hAnsi="Calibri"/>
          <w:color w:val="7F7F7F" w:themeColor="text1" w:themeTint="80"/>
          <w:sz w:val="26"/>
          <w:szCs w:val="26"/>
        </w:rPr>
        <w:t>e</w:t>
      </w:r>
      <w:r w:rsidRPr="00C14C6C">
        <w:rPr>
          <w:rFonts w:ascii="Calibri" w:hAnsi="Calibri"/>
          <w:color w:val="7F7F7F" w:themeColor="text1" w:themeTint="80"/>
          <w:sz w:val="26"/>
          <w:szCs w:val="26"/>
        </w:rPr>
        <w:t xml:space="preserve">is de </w:t>
      </w:r>
      <w:r>
        <w:rPr>
          <w:rFonts w:ascii="Calibri" w:hAnsi="Calibri"/>
          <w:color w:val="7F7F7F" w:themeColor="text1" w:themeTint="80"/>
          <w:sz w:val="26"/>
          <w:szCs w:val="26"/>
        </w:rPr>
        <w:t>septiembre</w:t>
      </w:r>
      <w:r w:rsidRPr="00C14C6C">
        <w:rPr>
          <w:rFonts w:ascii="Calibri" w:hAnsi="Calibri"/>
          <w:color w:val="7F7F7F" w:themeColor="text1" w:themeTint="80"/>
          <w:sz w:val="26"/>
          <w:szCs w:val="26"/>
        </w:rPr>
        <w:t xml:space="preserve"> del año 2013 dos mil trece, en l</w:t>
      </w:r>
      <w:r>
        <w:rPr>
          <w:rFonts w:ascii="Calibri" w:hAnsi="Calibri"/>
          <w:color w:val="7F7F7F" w:themeColor="text1" w:themeTint="80"/>
          <w:sz w:val="26"/>
          <w:szCs w:val="26"/>
        </w:rPr>
        <w:t>a</w:t>
      </w:r>
      <w:r w:rsidRPr="00C14C6C">
        <w:rPr>
          <w:rFonts w:ascii="Calibri" w:hAnsi="Calibri"/>
          <w:color w:val="7F7F7F" w:themeColor="text1" w:themeTint="80"/>
          <w:sz w:val="26"/>
          <w:szCs w:val="26"/>
        </w:rPr>
        <w:t xml:space="preserve"> Oficial</w:t>
      </w:r>
      <w:r>
        <w:rPr>
          <w:rFonts w:ascii="Calibri" w:hAnsi="Calibri"/>
          <w:color w:val="7F7F7F" w:themeColor="text1" w:themeTint="80"/>
          <w:sz w:val="26"/>
          <w:szCs w:val="26"/>
        </w:rPr>
        <w:t>ía</w:t>
      </w:r>
      <w:r w:rsidRPr="00C14C6C">
        <w:rPr>
          <w:rFonts w:ascii="Calibri" w:hAnsi="Calibri"/>
          <w:color w:val="7F7F7F" w:themeColor="text1" w:themeTint="80"/>
          <w:sz w:val="26"/>
          <w:szCs w:val="26"/>
        </w:rPr>
        <w:t xml:space="preserve"> Común de Partes de los Juzgados Administrativos de este Municipio, el ciudadano</w:t>
      </w:r>
      <w:r>
        <w:rPr>
          <w:rFonts w:ascii="Calibri" w:hAnsi="Calibri"/>
          <w:color w:val="7F7F7F" w:themeColor="text1" w:themeTint="80"/>
          <w:sz w:val="26"/>
          <w:szCs w:val="26"/>
        </w:rPr>
        <w:t xml:space="preserve"> </w:t>
      </w:r>
      <w:r>
        <w:rPr>
          <w:rFonts w:ascii="Calibri" w:hAnsi="Calibri" w:cs="Arial"/>
          <w:color w:val="7F7F7F" w:themeColor="text1" w:themeTint="80"/>
          <w:sz w:val="26"/>
          <w:szCs w:val="27"/>
        </w:rPr>
        <w:t>(.....)</w:t>
      </w:r>
      <w:r w:rsidRPr="00C14C6C">
        <w:rPr>
          <w:rFonts w:ascii="Calibri" w:hAnsi="Calibri"/>
          <w:color w:val="7F7F7F" w:themeColor="text1" w:themeTint="80"/>
          <w:sz w:val="26"/>
          <w:szCs w:val="26"/>
        </w:rPr>
        <w:t>, por su propio derecho, promovió proceso administrativo</w:t>
      </w:r>
      <w:r w:rsidRPr="00C14C6C">
        <w:rPr>
          <w:rFonts w:ascii="Calibri" w:hAnsi="Calibri" w:cs="Arial"/>
          <w:color w:val="7F7F7F" w:themeColor="text1" w:themeTint="80"/>
          <w:sz w:val="26"/>
          <w:szCs w:val="26"/>
        </w:rPr>
        <w:t>, en el que señaló como</w:t>
      </w:r>
      <w:r w:rsidRPr="00C14C6C">
        <w:rPr>
          <w:rFonts w:ascii="Calibri" w:hAnsi="Calibri"/>
          <w:color w:val="7F7F7F" w:themeColor="text1" w:themeTint="80"/>
          <w:sz w:val="26"/>
          <w:szCs w:val="26"/>
        </w:rPr>
        <w:t xml:space="preserve">: </w:t>
      </w:r>
      <w:r w:rsidRPr="00C14C6C">
        <w:rPr>
          <w:rFonts w:ascii="Calibri" w:hAnsi="Calibri" w:cs="Arial"/>
          <w:color w:val="7F7F7F" w:themeColor="text1" w:themeTint="80"/>
          <w:sz w:val="26"/>
          <w:szCs w:val="27"/>
        </w:rPr>
        <w:t xml:space="preserve">. . . . . . . . . . . . . . . . . . . . . . . . . . </w:t>
      </w:r>
      <w:r>
        <w:rPr>
          <w:rFonts w:ascii="Calibri" w:hAnsi="Calibri" w:cs="Arial"/>
          <w:color w:val="7F7F7F" w:themeColor="text1" w:themeTint="80"/>
          <w:sz w:val="26"/>
          <w:szCs w:val="27"/>
        </w:rPr>
        <w:t xml:space="preserve">. . . . . . . . . . . . . . . . . . . . . . . . . . . . </w:t>
      </w:r>
    </w:p>
    <w:p w:rsidR="00112CDC" w:rsidRPr="00C14C6C" w:rsidRDefault="00112CDC" w:rsidP="00112CDC">
      <w:pPr>
        <w:ind w:firstLine="708"/>
        <w:jc w:val="both"/>
        <w:rPr>
          <w:rFonts w:ascii="Calibri" w:hAnsi="Calibri"/>
          <w:b/>
          <w:bCs/>
          <w:color w:val="7F7F7F" w:themeColor="text1" w:themeTint="80"/>
          <w:sz w:val="26"/>
          <w:szCs w:val="27"/>
        </w:rPr>
      </w:pPr>
    </w:p>
    <w:p w:rsidR="00112CDC" w:rsidRPr="002C5283" w:rsidRDefault="00112CDC" w:rsidP="00112CDC">
      <w:pPr>
        <w:ind w:firstLine="708"/>
        <w:jc w:val="both"/>
        <w:rPr>
          <w:rFonts w:ascii="Calibri" w:hAnsi="Calibri"/>
          <w:b/>
          <w:bCs/>
          <w:color w:val="7F7F7F" w:themeColor="text1" w:themeTint="80"/>
          <w:sz w:val="26"/>
          <w:szCs w:val="27"/>
        </w:rPr>
      </w:pPr>
      <w:r>
        <w:rPr>
          <w:rFonts w:ascii="Calibri" w:hAnsi="Calibri"/>
          <w:b/>
          <w:bCs/>
          <w:color w:val="7F7F7F" w:themeColor="text1" w:themeTint="80"/>
          <w:sz w:val="26"/>
          <w:szCs w:val="27"/>
        </w:rPr>
        <w:t xml:space="preserve">a).- </w:t>
      </w:r>
      <w:r w:rsidRPr="00C14C6C">
        <w:rPr>
          <w:rFonts w:ascii="Calibri" w:hAnsi="Calibri"/>
          <w:b/>
          <w:bCs/>
          <w:color w:val="7F7F7F" w:themeColor="text1" w:themeTint="80"/>
          <w:sz w:val="26"/>
          <w:szCs w:val="27"/>
        </w:rPr>
        <w:t>Acto</w:t>
      </w:r>
      <w:r>
        <w:rPr>
          <w:rFonts w:ascii="Calibri" w:hAnsi="Calibri"/>
          <w:b/>
          <w:bCs/>
          <w:color w:val="7F7F7F" w:themeColor="text1" w:themeTint="80"/>
          <w:sz w:val="26"/>
          <w:szCs w:val="27"/>
        </w:rPr>
        <w:t>s</w:t>
      </w:r>
      <w:r w:rsidRPr="00C14C6C">
        <w:rPr>
          <w:rFonts w:ascii="Calibri" w:hAnsi="Calibri"/>
          <w:b/>
          <w:bCs/>
          <w:color w:val="7F7F7F" w:themeColor="text1" w:themeTint="80"/>
          <w:sz w:val="26"/>
          <w:szCs w:val="27"/>
        </w:rPr>
        <w:t xml:space="preserve"> impugnado</w:t>
      </w:r>
      <w:r>
        <w:rPr>
          <w:rFonts w:ascii="Calibri" w:hAnsi="Calibri"/>
          <w:b/>
          <w:bCs/>
          <w:color w:val="7F7F7F" w:themeColor="text1" w:themeTint="80"/>
          <w:sz w:val="26"/>
          <w:szCs w:val="27"/>
        </w:rPr>
        <w:t>s</w:t>
      </w:r>
      <w:r w:rsidRPr="00C14C6C">
        <w:rPr>
          <w:rFonts w:ascii="Calibri" w:hAnsi="Calibri"/>
          <w:b/>
          <w:bCs/>
          <w:color w:val="7F7F7F" w:themeColor="text1" w:themeTint="80"/>
          <w:sz w:val="26"/>
          <w:szCs w:val="27"/>
        </w:rPr>
        <w:t xml:space="preserve">: </w:t>
      </w:r>
      <w:r>
        <w:rPr>
          <w:rFonts w:ascii="Calibri" w:hAnsi="Calibri"/>
          <w:bCs/>
          <w:color w:val="7F7F7F" w:themeColor="text1" w:themeTint="80"/>
          <w:sz w:val="26"/>
          <w:szCs w:val="27"/>
        </w:rPr>
        <w:t>El</w:t>
      </w:r>
      <w:r>
        <w:rPr>
          <w:rFonts w:ascii="Calibri" w:hAnsi="Calibri"/>
          <w:b/>
          <w:bCs/>
          <w:color w:val="7F7F7F" w:themeColor="text1" w:themeTint="80"/>
          <w:sz w:val="26"/>
          <w:szCs w:val="27"/>
        </w:rPr>
        <w:t xml:space="preserve"> </w:t>
      </w:r>
      <w:r>
        <w:rPr>
          <w:rFonts w:ascii="Calibri" w:hAnsi="Calibri"/>
          <w:bCs/>
          <w:color w:val="7F7F7F" w:themeColor="text1" w:themeTint="80"/>
          <w:sz w:val="26"/>
          <w:szCs w:val="27"/>
        </w:rPr>
        <w:t xml:space="preserve">procedimiento llevado a cabo para </w:t>
      </w:r>
      <w:proofErr w:type="spellStart"/>
      <w:r>
        <w:rPr>
          <w:rFonts w:ascii="Calibri" w:hAnsi="Calibri"/>
          <w:bCs/>
          <w:color w:val="7F7F7F" w:themeColor="text1" w:themeTint="80"/>
          <w:sz w:val="26"/>
          <w:szCs w:val="27"/>
        </w:rPr>
        <w:t>valuar</w:t>
      </w:r>
      <w:proofErr w:type="spellEnd"/>
      <w:r>
        <w:rPr>
          <w:rFonts w:ascii="Calibri" w:hAnsi="Calibri"/>
          <w:bCs/>
          <w:color w:val="7F7F7F" w:themeColor="text1" w:themeTint="80"/>
          <w:sz w:val="26"/>
          <w:szCs w:val="27"/>
        </w:rPr>
        <w:t xml:space="preserve"> el inmueble señalado, en la cantidad de $1’752,233.55 (Un millón setecientos cincuenta y dos mil doscientos treinta y tres pesos 55/100 Moneda Nacional); y, el</w:t>
      </w:r>
      <w:r>
        <w:rPr>
          <w:rFonts w:ascii="Calibri" w:hAnsi="Calibri"/>
          <w:b/>
          <w:bCs/>
          <w:color w:val="7F7F7F" w:themeColor="text1" w:themeTint="80"/>
          <w:sz w:val="26"/>
          <w:szCs w:val="27"/>
        </w:rPr>
        <w:t xml:space="preserve"> </w:t>
      </w:r>
      <w:r>
        <w:rPr>
          <w:rFonts w:ascii="Calibri" w:hAnsi="Calibri"/>
          <w:bCs/>
          <w:color w:val="7F7F7F" w:themeColor="text1" w:themeTint="80"/>
          <w:sz w:val="26"/>
          <w:szCs w:val="27"/>
        </w:rPr>
        <w:t>requerimiento de pago del impuesto predial con número PR-2013-00471907, de fecha 18 dieciocho de julio del año 2013 dos mil trece, respecto del inmueble ubicado en calle (.....)</w:t>
      </w:r>
      <w:r w:rsidRPr="0038190D">
        <w:rPr>
          <w:rFonts w:ascii="Calibri" w:hAnsi="Calibri"/>
          <w:bCs/>
          <w:color w:val="7F7F7F" w:themeColor="text1" w:themeTint="80"/>
          <w:sz w:val="26"/>
          <w:szCs w:val="27"/>
        </w:rPr>
        <w:t xml:space="preserve">, con cuenta predial </w:t>
      </w:r>
      <w:r>
        <w:rPr>
          <w:rFonts w:ascii="Calibri" w:hAnsi="Calibri"/>
          <w:bCs/>
          <w:color w:val="7F7F7F" w:themeColor="text1" w:themeTint="80"/>
          <w:sz w:val="26"/>
          <w:szCs w:val="27"/>
        </w:rPr>
        <w:t xml:space="preserve">número </w:t>
      </w:r>
      <w:r w:rsidRPr="0038190D">
        <w:rPr>
          <w:rFonts w:ascii="Calibri" w:hAnsi="Calibri"/>
          <w:bCs/>
          <w:color w:val="7F7F7F" w:themeColor="text1" w:themeTint="80"/>
          <w:sz w:val="26"/>
          <w:szCs w:val="27"/>
        </w:rPr>
        <w:t>01-L-0000458</w:t>
      </w:r>
      <w:r>
        <w:rPr>
          <w:rFonts w:ascii="Calibri" w:hAnsi="Calibri"/>
          <w:bCs/>
          <w:color w:val="7F7F7F" w:themeColor="text1" w:themeTint="80"/>
          <w:sz w:val="26"/>
          <w:szCs w:val="27"/>
        </w:rPr>
        <w:t>-003. . . . . . . . . . . . . . . . . . . . . . . . . . . . . . . . . . . . . . . . . . . . . . . . . . . . . . . . . . . . . . . . . .</w:t>
      </w:r>
    </w:p>
    <w:p w:rsidR="00112CDC" w:rsidRPr="00C14C6C" w:rsidRDefault="00112CDC" w:rsidP="00112CDC">
      <w:pPr>
        <w:jc w:val="both"/>
        <w:rPr>
          <w:rFonts w:ascii="Calibri" w:hAnsi="Calibri"/>
          <w:color w:val="7F7F7F" w:themeColor="text1" w:themeTint="80"/>
          <w:sz w:val="22"/>
          <w:szCs w:val="27"/>
        </w:rPr>
      </w:pPr>
    </w:p>
    <w:p w:rsidR="00112CDC" w:rsidRPr="00C14C6C" w:rsidRDefault="00112CDC" w:rsidP="00112CDC">
      <w:pPr>
        <w:ind w:firstLine="708"/>
        <w:jc w:val="both"/>
        <w:rPr>
          <w:rFonts w:ascii="Calibri" w:hAnsi="Calibri"/>
          <w:color w:val="7F7F7F" w:themeColor="text1" w:themeTint="80"/>
          <w:sz w:val="26"/>
          <w:szCs w:val="27"/>
        </w:rPr>
      </w:pPr>
      <w:r w:rsidRPr="00C14C6C">
        <w:rPr>
          <w:rFonts w:ascii="Calibri" w:hAnsi="Calibri"/>
          <w:b/>
          <w:bCs/>
          <w:color w:val="7F7F7F" w:themeColor="text1" w:themeTint="80"/>
          <w:sz w:val="26"/>
          <w:szCs w:val="27"/>
        </w:rPr>
        <w:t>b</w:t>
      </w:r>
      <w:proofErr w:type="gramStart"/>
      <w:r w:rsidRPr="00C14C6C">
        <w:rPr>
          <w:rFonts w:ascii="Calibri" w:hAnsi="Calibri"/>
          <w:b/>
          <w:bCs/>
          <w:color w:val="7F7F7F" w:themeColor="text1" w:themeTint="80"/>
          <w:sz w:val="26"/>
          <w:szCs w:val="27"/>
        </w:rPr>
        <w:t>).-</w:t>
      </w:r>
      <w:proofErr w:type="gramEnd"/>
      <w:r w:rsidRPr="00C14C6C">
        <w:rPr>
          <w:rFonts w:ascii="Calibri" w:hAnsi="Calibri"/>
          <w:b/>
          <w:bCs/>
          <w:color w:val="7F7F7F" w:themeColor="text1" w:themeTint="80"/>
          <w:sz w:val="26"/>
          <w:szCs w:val="27"/>
        </w:rPr>
        <w:t xml:space="preserve"> Autoridades demandadas</w:t>
      </w:r>
      <w:r w:rsidRPr="00C14C6C">
        <w:rPr>
          <w:rFonts w:ascii="Calibri" w:hAnsi="Calibri"/>
          <w:color w:val="7F7F7F" w:themeColor="text1" w:themeTint="80"/>
          <w:sz w:val="26"/>
          <w:szCs w:val="27"/>
        </w:rPr>
        <w:t xml:space="preserve">.- </w:t>
      </w:r>
      <w:r>
        <w:rPr>
          <w:rFonts w:ascii="Calibri" w:hAnsi="Calibri"/>
          <w:color w:val="7F7F7F" w:themeColor="text1" w:themeTint="80"/>
          <w:sz w:val="26"/>
          <w:szCs w:val="27"/>
        </w:rPr>
        <w:t xml:space="preserve">El </w:t>
      </w:r>
      <w:r w:rsidRPr="00C14C6C">
        <w:rPr>
          <w:rFonts w:ascii="Calibri" w:hAnsi="Calibri"/>
          <w:color w:val="7F7F7F" w:themeColor="text1" w:themeTint="80"/>
          <w:sz w:val="26"/>
          <w:szCs w:val="27"/>
        </w:rPr>
        <w:t>Tesorer</w:t>
      </w:r>
      <w:r>
        <w:rPr>
          <w:rFonts w:ascii="Calibri" w:hAnsi="Calibri"/>
          <w:color w:val="7F7F7F" w:themeColor="text1" w:themeTint="80"/>
          <w:sz w:val="26"/>
          <w:szCs w:val="27"/>
        </w:rPr>
        <w:t>o</w:t>
      </w:r>
      <w:r w:rsidRPr="00C14C6C">
        <w:rPr>
          <w:rFonts w:ascii="Calibri" w:hAnsi="Calibri"/>
          <w:color w:val="7F7F7F" w:themeColor="text1" w:themeTint="80"/>
          <w:sz w:val="26"/>
          <w:szCs w:val="27"/>
        </w:rPr>
        <w:t xml:space="preserve"> </w:t>
      </w:r>
      <w:r w:rsidRPr="00C14C6C">
        <w:rPr>
          <w:rFonts w:ascii="Calibri" w:hAnsi="Calibri" w:cs="Arial"/>
          <w:color w:val="7F7F7F" w:themeColor="text1" w:themeTint="80"/>
          <w:sz w:val="26"/>
          <w:szCs w:val="27"/>
        </w:rPr>
        <w:t>Municipal</w:t>
      </w:r>
      <w:r>
        <w:rPr>
          <w:rFonts w:ascii="Calibri" w:hAnsi="Calibri" w:cs="Arial"/>
          <w:color w:val="7F7F7F" w:themeColor="text1" w:themeTint="80"/>
          <w:sz w:val="26"/>
          <w:szCs w:val="27"/>
        </w:rPr>
        <w:t>,</w:t>
      </w:r>
      <w:r w:rsidRPr="00C14C6C">
        <w:rPr>
          <w:rFonts w:ascii="Calibri" w:hAnsi="Calibri" w:cs="Arial"/>
          <w:color w:val="7F7F7F" w:themeColor="text1" w:themeTint="80"/>
          <w:sz w:val="26"/>
          <w:szCs w:val="27"/>
        </w:rPr>
        <w:t xml:space="preserve"> la Direc</w:t>
      </w:r>
      <w:r>
        <w:rPr>
          <w:rFonts w:ascii="Calibri" w:hAnsi="Calibri" w:cs="Arial"/>
          <w:color w:val="7F7F7F" w:themeColor="text1" w:themeTint="80"/>
          <w:sz w:val="26"/>
          <w:szCs w:val="27"/>
        </w:rPr>
        <w:t>tora de Impuestos Inmobiliarios y Catastro y el Director de Ejecución,</w:t>
      </w:r>
      <w:r w:rsidRPr="0038190D">
        <w:rPr>
          <w:rFonts w:ascii="Calibri" w:hAnsi="Calibri" w:cs="Arial"/>
          <w:color w:val="7F7F7F" w:themeColor="text1" w:themeTint="80"/>
          <w:sz w:val="26"/>
          <w:szCs w:val="27"/>
        </w:rPr>
        <w:t xml:space="preserve"> todos de </w:t>
      </w:r>
      <w:r w:rsidRPr="00C14C6C">
        <w:rPr>
          <w:rFonts w:ascii="Calibri" w:hAnsi="Calibri" w:cs="Arial"/>
          <w:color w:val="7F7F7F" w:themeColor="text1" w:themeTint="80"/>
          <w:sz w:val="26"/>
          <w:szCs w:val="27"/>
        </w:rPr>
        <w:t>éste Municipio de León, Guanajuato. . . . . . . . . . . . . . . . . . . . . . . . . . . . . . . . . . . . . .</w:t>
      </w:r>
      <w:r>
        <w:rPr>
          <w:rFonts w:ascii="Calibri" w:hAnsi="Calibri" w:cs="Arial"/>
          <w:color w:val="7F7F7F" w:themeColor="text1" w:themeTint="80"/>
          <w:sz w:val="26"/>
          <w:szCs w:val="27"/>
        </w:rPr>
        <w:t xml:space="preserve"> . . . . . </w:t>
      </w:r>
    </w:p>
    <w:p w:rsidR="00112CDC" w:rsidRPr="00C14C6C" w:rsidRDefault="00112CDC" w:rsidP="00112CDC">
      <w:pPr>
        <w:jc w:val="both"/>
        <w:rPr>
          <w:rFonts w:ascii="Calibri" w:hAnsi="Calibri"/>
          <w:color w:val="7F7F7F" w:themeColor="text1" w:themeTint="80"/>
          <w:sz w:val="22"/>
          <w:szCs w:val="27"/>
        </w:rPr>
      </w:pPr>
    </w:p>
    <w:p w:rsidR="00112CDC" w:rsidRPr="00C14C6C" w:rsidRDefault="00112CDC" w:rsidP="00112CDC">
      <w:pPr>
        <w:ind w:firstLine="708"/>
        <w:jc w:val="both"/>
        <w:rPr>
          <w:rFonts w:ascii="Calibri" w:hAnsi="Calibri"/>
          <w:color w:val="7F7F7F" w:themeColor="text1" w:themeTint="80"/>
          <w:sz w:val="26"/>
          <w:szCs w:val="27"/>
        </w:rPr>
      </w:pPr>
      <w:proofErr w:type="gramStart"/>
      <w:r>
        <w:rPr>
          <w:rFonts w:ascii="Calibri" w:hAnsi="Calibri"/>
          <w:b/>
          <w:bCs/>
          <w:color w:val="7F7F7F" w:themeColor="text1" w:themeTint="80"/>
          <w:sz w:val="26"/>
          <w:szCs w:val="27"/>
        </w:rPr>
        <w:t>c).-</w:t>
      </w:r>
      <w:proofErr w:type="gramEnd"/>
      <w:r>
        <w:rPr>
          <w:rFonts w:ascii="Calibri" w:hAnsi="Calibri"/>
          <w:b/>
          <w:bCs/>
          <w:color w:val="7F7F7F" w:themeColor="text1" w:themeTint="80"/>
          <w:sz w:val="26"/>
          <w:szCs w:val="27"/>
        </w:rPr>
        <w:t xml:space="preserve"> Pretensió</w:t>
      </w:r>
      <w:r w:rsidRPr="00C14C6C">
        <w:rPr>
          <w:rFonts w:ascii="Calibri" w:hAnsi="Calibri"/>
          <w:b/>
          <w:bCs/>
          <w:color w:val="7F7F7F" w:themeColor="text1" w:themeTint="80"/>
          <w:sz w:val="26"/>
          <w:szCs w:val="27"/>
        </w:rPr>
        <w:t xml:space="preserve">n: </w:t>
      </w:r>
      <w:r w:rsidRPr="00C14C6C">
        <w:rPr>
          <w:rFonts w:ascii="Calibri" w:hAnsi="Calibri"/>
          <w:bCs/>
          <w:color w:val="7F7F7F" w:themeColor="text1" w:themeTint="80"/>
          <w:sz w:val="26"/>
          <w:szCs w:val="27"/>
        </w:rPr>
        <w:t xml:space="preserve">La </w:t>
      </w:r>
      <w:r w:rsidRPr="00C14C6C">
        <w:rPr>
          <w:rFonts w:ascii="Calibri" w:hAnsi="Calibri"/>
          <w:color w:val="7F7F7F" w:themeColor="text1" w:themeTint="80"/>
          <w:sz w:val="26"/>
          <w:szCs w:val="27"/>
        </w:rPr>
        <w:t>nulidad de</w:t>
      </w:r>
      <w:r>
        <w:rPr>
          <w:rFonts w:ascii="Calibri" w:hAnsi="Calibri"/>
          <w:color w:val="7F7F7F" w:themeColor="text1" w:themeTint="80"/>
          <w:sz w:val="26"/>
          <w:szCs w:val="27"/>
        </w:rPr>
        <w:t xml:space="preserve"> </w:t>
      </w:r>
      <w:r w:rsidRPr="00C14C6C">
        <w:rPr>
          <w:rFonts w:ascii="Calibri" w:hAnsi="Calibri"/>
          <w:color w:val="7F7F7F" w:themeColor="text1" w:themeTint="80"/>
          <w:sz w:val="26"/>
          <w:szCs w:val="27"/>
        </w:rPr>
        <w:t>l</w:t>
      </w:r>
      <w:r>
        <w:rPr>
          <w:rFonts w:ascii="Calibri" w:hAnsi="Calibri"/>
          <w:color w:val="7F7F7F" w:themeColor="text1" w:themeTint="80"/>
          <w:sz w:val="26"/>
          <w:szCs w:val="27"/>
        </w:rPr>
        <w:t>os</w:t>
      </w:r>
      <w:r w:rsidRPr="00C14C6C">
        <w:rPr>
          <w:rFonts w:ascii="Calibri" w:hAnsi="Calibri"/>
          <w:color w:val="7F7F7F" w:themeColor="text1" w:themeTint="80"/>
          <w:sz w:val="26"/>
          <w:szCs w:val="27"/>
        </w:rPr>
        <w:t xml:space="preserve"> acto</w:t>
      </w:r>
      <w:r>
        <w:rPr>
          <w:rFonts w:ascii="Calibri" w:hAnsi="Calibri"/>
          <w:color w:val="7F7F7F" w:themeColor="text1" w:themeTint="80"/>
          <w:sz w:val="26"/>
          <w:szCs w:val="27"/>
        </w:rPr>
        <w:t>s</w:t>
      </w:r>
      <w:r w:rsidRPr="00C14C6C">
        <w:rPr>
          <w:rFonts w:ascii="Calibri" w:hAnsi="Calibri"/>
          <w:color w:val="7F7F7F" w:themeColor="text1" w:themeTint="80"/>
          <w:sz w:val="26"/>
          <w:szCs w:val="27"/>
        </w:rPr>
        <w:t xml:space="preserve"> impugnado</w:t>
      </w:r>
      <w:r>
        <w:rPr>
          <w:rFonts w:ascii="Calibri" w:hAnsi="Calibri"/>
          <w:color w:val="7F7F7F" w:themeColor="text1" w:themeTint="80"/>
          <w:sz w:val="26"/>
          <w:szCs w:val="27"/>
        </w:rPr>
        <w:t>s</w:t>
      </w:r>
      <w:r w:rsidRPr="00C14C6C">
        <w:rPr>
          <w:rFonts w:ascii="Calibri" w:hAnsi="Calibri"/>
          <w:color w:val="7F7F7F" w:themeColor="text1" w:themeTint="80"/>
          <w:sz w:val="26"/>
          <w:szCs w:val="27"/>
        </w:rPr>
        <w:t xml:space="preserve">. . . . . . . . . . . . . . . . . </w:t>
      </w:r>
      <w:r>
        <w:rPr>
          <w:rFonts w:ascii="Calibri" w:hAnsi="Calibri"/>
          <w:color w:val="7F7F7F" w:themeColor="text1" w:themeTint="80"/>
          <w:sz w:val="26"/>
          <w:szCs w:val="27"/>
        </w:rPr>
        <w:t>. . .</w:t>
      </w:r>
    </w:p>
    <w:p w:rsidR="00112CDC" w:rsidRPr="00C14C6C" w:rsidRDefault="00112CDC" w:rsidP="00112CDC">
      <w:pPr>
        <w:ind w:firstLine="708"/>
        <w:jc w:val="both"/>
        <w:rPr>
          <w:rFonts w:ascii="Calibri" w:hAnsi="Calibri"/>
          <w:color w:val="7F7F7F" w:themeColor="text1" w:themeTint="80"/>
          <w:sz w:val="22"/>
          <w:szCs w:val="27"/>
        </w:rPr>
      </w:pPr>
    </w:p>
    <w:p w:rsidR="00112CDC" w:rsidRPr="00C14C6C" w:rsidRDefault="00112CDC" w:rsidP="00112CDC">
      <w:pPr>
        <w:ind w:firstLine="708"/>
        <w:jc w:val="both"/>
        <w:rPr>
          <w:rFonts w:ascii="Calibri" w:hAnsi="Calibri" w:cs="Calibri"/>
          <w:color w:val="7F7F7F" w:themeColor="text1" w:themeTint="80"/>
          <w:sz w:val="26"/>
          <w:szCs w:val="26"/>
        </w:rPr>
      </w:pPr>
      <w:r w:rsidRPr="00C14C6C">
        <w:rPr>
          <w:rFonts w:ascii="Calibri" w:hAnsi="Calibri" w:cs="Calibri"/>
          <w:b/>
          <w:bCs/>
          <w:i/>
          <w:iCs/>
          <w:color w:val="7F7F7F" w:themeColor="text1" w:themeTint="80"/>
          <w:sz w:val="26"/>
          <w:szCs w:val="26"/>
        </w:rPr>
        <w:t>SEGUNDO</w:t>
      </w:r>
      <w:r w:rsidRPr="00C14C6C">
        <w:rPr>
          <w:rFonts w:ascii="Calibri" w:hAnsi="Calibri"/>
          <w:b/>
          <w:bCs/>
          <w:i/>
          <w:iCs/>
          <w:color w:val="7F7F7F" w:themeColor="text1" w:themeTint="80"/>
          <w:sz w:val="26"/>
          <w:szCs w:val="26"/>
        </w:rPr>
        <w:t xml:space="preserve">.- </w:t>
      </w:r>
      <w:r w:rsidRPr="00C14C6C">
        <w:rPr>
          <w:rFonts w:ascii="Calibri" w:hAnsi="Calibri"/>
          <w:color w:val="7F7F7F" w:themeColor="text1" w:themeTint="80"/>
          <w:sz w:val="26"/>
          <w:szCs w:val="26"/>
        </w:rPr>
        <w:t xml:space="preserve">Este Juzgado Segundo Administrativo, en razón de turno, se avocó al conocimiento del presente proceso, por lo que por auto </w:t>
      </w:r>
      <w:r w:rsidRPr="00C14C6C">
        <w:rPr>
          <w:rFonts w:ascii="Calibri" w:hAnsi="Calibri" w:cs="Calibri"/>
          <w:color w:val="7F7F7F" w:themeColor="text1" w:themeTint="80"/>
          <w:sz w:val="26"/>
          <w:szCs w:val="26"/>
        </w:rPr>
        <w:t>de fecha 1</w:t>
      </w:r>
      <w:r>
        <w:rPr>
          <w:rFonts w:ascii="Calibri" w:hAnsi="Calibri" w:cs="Calibri"/>
          <w:color w:val="7F7F7F" w:themeColor="text1" w:themeTint="80"/>
          <w:sz w:val="26"/>
          <w:szCs w:val="26"/>
        </w:rPr>
        <w:t>0</w:t>
      </w:r>
      <w:r w:rsidRPr="00C14C6C">
        <w:rPr>
          <w:rFonts w:ascii="Calibri" w:hAnsi="Calibri" w:cs="Calibri"/>
          <w:color w:val="7F7F7F" w:themeColor="text1" w:themeTint="80"/>
          <w:sz w:val="26"/>
          <w:szCs w:val="26"/>
        </w:rPr>
        <w:t xml:space="preserve"> d</w:t>
      </w:r>
      <w:r>
        <w:rPr>
          <w:rFonts w:ascii="Calibri" w:hAnsi="Calibri" w:cs="Calibri"/>
          <w:color w:val="7F7F7F" w:themeColor="text1" w:themeTint="80"/>
          <w:sz w:val="26"/>
          <w:szCs w:val="26"/>
        </w:rPr>
        <w:t>i</w:t>
      </w:r>
      <w:r w:rsidRPr="00C14C6C">
        <w:rPr>
          <w:rFonts w:ascii="Calibri" w:hAnsi="Calibri" w:cs="Calibri"/>
          <w:color w:val="7F7F7F" w:themeColor="text1" w:themeTint="80"/>
          <w:sz w:val="26"/>
          <w:szCs w:val="26"/>
        </w:rPr>
        <w:t>e</w:t>
      </w:r>
      <w:r>
        <w:rPr>
          <w:rFonts w:ascii="Calibri" w:hAnsi="Calibri" w:cs="Calibri"/>
          <w:color w:val="7F7F7F" w:themeColor="text1" w:themeTint="80"/>
          <w:sz w:val="26"/>
          <w:szCs w:val="26"/>
        </w:rPr>
        <w:t>z</w:t>
      </w:r>
      <w:r w:rsidRPr="00C14C6C">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septiembre</w:t>
      </w:r>
      <w:r w:rsidRPr="00C14C6C">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C87528">
        <w:rPr>
          <w:rFonts w:ascii="Calibri" w:hAnsi="Calibri" w:cs="Calibri"/>
          <w:color w:val="7F7F7F" w:themeColor="text1" w:themeTint="80"/>
          <w:sz w:val="26"/>
          <w:szCs w:val="26"/>
        </w:rPr>
        <w:t xml:space="preserve"> 2013 dos mil trece; </w:t>
      </w:r>
      <w:r w:rsidRPr="00C14C6C">
        <w:rPr>
          <w:rFonts w:ascii="Calibri" w:hAnsi="Calibri" w:cs="Calibri"/>
          <w:color w:val="7F7F7F" w:themeColor="text1" w:themeTint="80"/>
          <w:sz w:val="26"/>
          <w:szCs w:val="26"/>
        </w:rPr>
        <w:t xml:space="preserve">se </w:t>
      </w:r>
      <w:r w:rsidRPr="00C14C6C">
        <w:rPr>
          <w:rFonts w:ascii="Calibri" w:hAnsi="Calibri"/>
          <w:color w:val="7F7F7F" w:themeColor="text1" w:themeTint="80"/>
          <w:sz w:val="26"/>
          <w:szCs w:val="26"/>
        </w:rPr>
        <w:t xml:space="preserve">admitió a trámite la demanda en contra de las autoridades mencionadas; teniéndose </w:t>
      </w:r>
      <w:r w:rsidRPr="00C14C6C">
        <w:rPr>
          <w:rFonts w:ascii="Calibri" w:hAnsi="Calibri"/>
          <w:color w:val="7F7F7F" w:themeColor="text1" w:themeTint="80"/>
          <w:sz w:val="26"/>
          <w:szCs w:val="27"/>
        </w:rPr>
        <w:t>a la parte actora por ofreciendo como pruebas de su intención y admitidas, la documental que describ</w:t>
      </w:r>
      <w:r>
        <w:rPr>
          <w:rFonts w:ascii="Calibri" w:hAnsi="Calibri"/>
          <w:color w:val="7F7F7F" w:themeColor="text1" w:themeTint="80"/>
          <w:sz w:val="26"/>
          <w:szCs w:val="27"/>
        </w:rPr>
        <w:t>ió como primera</w:t>
      </w:r>
      <w:r w:rsidRPr="00C14C6C">
        <w:rPr>
          <w:rFonts w:ascii="Calibri" w:hAnsi="Calibri"/>
          <w:color w:val="7F7F7F" w:themeColor="text1" w:themeTint="80"/>
          <w:sz w:val="26"/>
          <w:szCs w:val="27"/>
        </w:rPr>
        <w:t xml:space="preserve"> del capítulo de pruebas de su escrito inicial de demanda; misma que anexó y</w:t>
      </w:r>
      <w:r>
        <w:rPr>
          <w:rFonts w:ascii="Calibri" w:hAnsi="Calibri"/>
          <w:color w:val="7F7F7F" w:themeColor="text1" w:themeTint="80"/>
          <w:sz w:val="26"/>
          <w:szCs w:val="27"/>
        </w:rPr>
        <w:t xml:space="preserve"> que en ese momento se tuvo por desahogada </w:t>
      </w:r>
      <w:r w:rsidRPr="00C14C6C">
        <w:rPr>
          <w:rFonts w:ascii="Calibri" w:hAnsi="Calibri"/>
          <w:color w:val="7F7F7F" w:themeColor="text1" w:themeTint="80"/>
          <w:sz w:val="26"/>
          <w:szCs w:val="27"/>
        </w:rPr>
        <w:t>dada su propia natura</w:t>
      </w:r>
      <w:r>
        <w:rPr>
          <w:rFonts w:ascii="Calibri" w:hAnsi="Calibri"/>
          <w:color w:val="7F7F7F" w:themeColor="text1" w:themeTint="80"/>
          <w:sz w:val="26"/>
          <w:szCs w:val="27"/>
        </w:rPr>
        <w:t>leza;</w:t>
      </w:r>
      <w:r w:rsidRPr="00C14C6C">
        <w:rPr>
          <w:rFonts w:ascii="Calibri" w:hAnsi="Calibri"/>
          <w:color w:val="7F7F7F" w:themeColor="text1" w:themeTint="80"/>
          <w:sz w:val="26"/>
          <w:szCs w:val="27"/>
        </w:rPr>
        <w:t xml:space="preserve"> y, la </w:t>
      </w:r>
      <w:proofErr w:type="spellStart"/>
      <w:r w:rsidRPr="00C14C6C">
        <w:rPr>
          <w:rFonts w:ascii="Calibri" w:hAnsi="Calibri"/>
          <w:color w:val="7F7F7F" w:themeColor="text1" w:themeTint="80"/>
          <w:sz w:val="26"/>
          <w:szCs w:val="27"/>
        </w:rPr>
        <w:t>presuncional</w:t>
      </w:r>
      <w:proofErr w:type="spellEnd"/>
      <w:r w:rsidRPr="00C14C6C">
        <w:rPr>
          <w:rFonts w:ascii="Calibri" w:hAnsi="Calibri"/>
          <w:color w:val="7F7F7F" w:themeColor="text1" w:themeTint="80"/>
          <w:sz w:val="26"/>
          <w:szCs w:val="27"/>
        </w:rPr>
        <w:t xml:space="preserve"> legal y humana, en lo que le beneficie . . . . . . . . .</w:t>
      </w:r>
      <w:r>
        <w:rPr>
          <w:rFonts w:ascii="Calibri" w:hAnsi="Calibri"/>
          <w:color w:val="7F7F7F" w:themeColor="text1" w:themeTint="80"/>
          <w:sz w:val="26"/>
          <w:szCs w:val="27"/>
        </w:rPr>
        <w:t xml:space="preserve"> . . . . . . . . . . . . </w:t>
      </w:r>
    </w:p>
    <w:p w:rsidR="00112CDC" w:rsidRPr="00C14C6C" w:rsidRDefault="00112CDC" w:rsidP="00112CDC">
      <w:pPr>
        <w:pStyle w:val="Sangra3detindependiente"/>
        <w:rPr>
          <w:color w:val="7F7F7F" w:themeColor="text1" w:themeTint="80"/>
        </w:rPr>
      </w:pPr>
    </w:p>
    <w:p w:rsidR="00112CDC" w:rsidRPr="007A362A" w:rsidRDefault="00112CDC" w:rsidP="00112CDC">
      <w:pPr>
        <w:pStyle w:val="Sangra3detindependiente"/>
        <w:jc w:val="both"/>
        <w:rPr>
          <w:rFonts w:ascii="Calibri" w:hAnsi="Calibri"/>
          <w:color w:val="7F7F7F" w:themeColor="text1" w:themeTint="80"/>
          <w:sz w:val="26"/>
          <w:szCs w:val="27"/>
        </w:rPr>
      </w:pPr>
      <w:r w:rsidRPr="007A362A">
        <w:rPr>
          <w:rFonts w:ascii="Calibri" w:hAnsi="Calibri"/>
          <w:color w:val="7F7F7F" w:themeColor="text1" w:themeTint="80"/>
          <w:sz w:val="26"/>
          <w:szCs w:val="27"/>
        </w:rPr>
        <w:t xml:space="preserve">Por otra parte, se ordenó emplazar y correr traslado a las autoridades señaladas como demandadas, para que dieran contestación a la demanda interpuesta en su contra; lo que hicieron el titular de la Tesorería Municipal, Contador Público </w:t>
      </w:r>
      <w:r>
        <w:rPr>
          <w:rFonts w:ascii="Calibri" w:hAnsi="Calibri"/>
          <w:color w:val="7F7F7F" w:themeColor="text1" w:themeTint="80"/>
          <w:sz w:val="26"/>
          <w:szCs w:val="27"/>
        </w:rPr>
        <w:t>(.....)</w:t>
      </w:r>
      <w:r w:rsidRPr="007A362A">
        <w:rPr>
          <w:rFonts w:ascii="Calibri" w:hAnsi="Calibri"/>
          <w:color w:val="7F7F7F" w:themeColor="text1" w:themeTint="80"/>
          <w:sz w:val="26"/>
          <w:szCs w:val="27"/>
        </w:rPr>
        <w:t xml:space="preserve">; el Director de Ejecución, de nombre Ingeniero </w:t>
      </w:r>
      <w:r>
        <w:rPr>
          <w:rFonts w:ascii="Calibri" w:hAnsi="Calibri"/>
          <w:color w:val="7F7F7F" w:themeColor="text1" w:themeTint="80"/>
          <w:sz w:val="26"/>
          <w:szCs w:val="27"/>
        </w:rPr>
        <w:t>(.....)</w:t>
      </w:r>
      <w:r w:rsidRPr="007A362A">
        <w:rPr>
          <w:rFonts w:ascii="Calibri" w:hAnsi="Calibri"/>
          <w:color w:val="7F7F7F" w:themeColor="text1" w:themeTint="80"/>
          <w:sz w:val="26"/>
          <w:szCs w:val="27"/>
        </w:rPr>
        <w:t xml:space="preserve">; y, la Directora de Impuestos Inmobiliarios, Licenciada  </w:t>
      </w:r>
      <w:r>
        <w:rPr>
          <w:rFonts w:ascii="Calibri" w:hAnsi="Calibri"/>
          <w:color w:val="7F7F7F" w:themeColor="text1" w:themeTint="80"/>
          <w:sz w:val="26"/>
          <w:szCs w:val="27"/>
        </w:rPr>
        <w:t>(.....)</w:t>
      </w:r>
      <w:r w:rsidRPr="007A362A">
        <w:rPr>
          <w:rFonts w:ascii="Calibri" w:hAnsi="Calibri"/>
          <w:color w:val="7F7F7F" w:themeColor="text1" w:themeTint="80"/>
          <w:sz w:val="26"/>
          <w:szCs w:val="27"/>
        </w:rPr>
        <w:t xml:space="preserve">; por escritos </w:t>
      </w:r>
      <w:r w:rsidRPr="007A362A">
        <w:rPr>
          <w:rFonts w:ascii="Calibri" w:hAnsi="Calibri"/>
          <w:color w:val="7F7F7F" w:themeColor="text1" w:themeTint="80"/>
          <w:sz w:val="26"/>
          <w:szCs w:val="27"/>
        </w:rPr>
        <w:lastRenderedPageBreak/>
        <w:t xml:space="preserve">presentados el día 26 veintiséis de septiembre del año 2013 dos mil trece; en los que tales autoridades, plantearon una causal de sobreseimiento, dieron contestación a los hechos, y a los conceptos de impugnación, de los que dijeron eran falsos e improcedentes; y sostuvieron la legalidad de los actos realizados; además de hacer valer excepciones y defensas. . . . . . . . . . . . . . . . . . . . . . . . . . . . . . . . . . . . . . . . . . . . . . . . . </w:t>
      </w:r>
    </w:p>
    <w:p w:rsidR="00112CDC" w:rsidRPr="00C14C6C" w:rsidRDefault="00112CDC" w:rsidP="00112CDC">
      <w:pPr>
        <w:pStyle w:val="Textoindependiente"/>
        <w:rPr>
          <w:rFonts w:ascii="Calibri" w:hAnsi="Calibri" w:cs="Arial"/>
          <w:color w:val="7F7F7F" w:themeColor="text1" w:themeTint="80"/>
          <w:sz w:val="22"/>
          <w:szCs w:val="27"/>
          <w:lang w:val="es-ES"/>
        </w:rPr>
      </w:pPr>
    </w:p>
    <w:p w:rsidR="00112CDC" w:rsidRDefault="00112CDC" w:rsidP="00112CDC">
      <w:pPr>
        <w:pStyle w:val="Textoindependiente"/>
        <w:ind w:firstLine="708"/>
        <w:rPr>
          <w:rFonts w:ascii="Calibri" w:hAnsi="Calibri"/>
          <w:color w:val="7F7F7F" w:themeColor="text1" w:themeTint="80"/>
          <w:sz w:val="26"/>
          <w:szCs w:val="27"/>
        </w:rPr>
      </w:pPr>
      <w:r w:rsidRPr="00C14C6C">
        <w:rPr>
          <w:rFonts w:ascii="Calibri" w:hAnsi="Calibri" w:cs="Arial"/>
          <w:b/>
          <w:bCs/>
          <w:i/>
          <w:iCs/>
          <w:color w:val="7F7F7F" w:themeColor="text1" w:themeTint="80"/>
          <w:sz w:val="26"/>
          <w:szCs w:val="27"/>
        </w:rPr>
        <w:t>TERCERO</w:t>
      </w:r>
      <w:r w:rsidRPr="00C14C6C">
        <w:rPr>
          <w:rFonts w:ascii="Calibri" w:hAnsi="Calibri" w:cs="Arial"/>
          <w:b/>
          <w:bCs/>
          <w:color w:val="7F7F7F" w:themeColor="text1" w:themeTint="80"/>
          <w:sz w:val="26"/>
          <w:szCs w:val="27"/>
        </w:rPr>
        <w:t xml:space="preserve">.- </w:t>
      </w:r>
      <w:r w:rsidRPr="00C14C6C">
        <w:rPr>
          <w:rFonts w:ascii="Calibri" w:hAnsi="Calibri"/>
          <w:color w:val="7F7F7F" w:themeColor="text1" w:themeTint="80"/>
          <w:sz w:val="26"/>
          <w:szCs w:val="27"/>
        </w:rPr>
        <w:t xml:space="preserve">Por acuerdo de fecha </w:t>
      </w:r>
      <w:r>
        <w:rPr>
          <w:rFonts w:ascii="Calibri" w:hAnsi="Calibri"/>
          <w:color w:val="7F7F7F" w:themeColor="text1" w:themeTint="80"/>
          <w:sz w:val="26"/>
          <w:szCs w:val="27"/>
        </w:rPr>
        <w:t>30</w:t>
      </w:r>
      <w:r w:rsidRPr="00C14C6C">
        <w:rPr>
          <w:rFonts w:ascii="Calibri" w:hAnsi="Calibri"/>
          <w:color w:val="7F7F7F" w:themeColor="text1" w:themeTint="80"/>
          <w:sz w:val="26"/>
          <w:szCs w:val="27"/>
        </w:rPr>
        <w:t xml:space="preserve"> </w:t>
      </w:r>
      <w:r>
        <w:rPr>
          <w:rFonts w:ascii="Calibri" w:hAnsi="Calibri"/>
          <w:color w:val="7F7F7F" w:themeColor="text1" w:themeTint="80"/>
          <w:sz w:val="26"/>
          <w:szCs w:val="27"/>
        </w:rPr>
        <w:t>tr</w:t>
      </w:r>
      <w:r w:rsidRPr="00C14C6C">
        <w:rPr>
          <w:rFonts w:ascii="Calibri" w:hAnsi="Calibri"/>
          <w:color w:val="7F7F7F" w:themeColor="text1" w:themeTint="80"/>
          <w:sz w:val="26"/>
          <w:szCs w:val="27"/>
        </w:rPr>
        <w:t>e</w:t>
      </w:r>
      <w:r>
        <w:rPr>
          <w:rFonts w:ascii="Calibri" w:hAnsi="Calibri"/>
          <w:color w:val="7F7F7F" w:themeColor="text1" w:themeTint="80"/>
          <w:sz w:val="26"/>
          <w:szCs w:val="27"/>
        </w:rPr>
        <w:t>inta</w:t>
      </w:r>
      <w:r w:rsidRPr="00C14C6C">
        <w:rPr>
          <w:rFonts w:ascii="Calibri" w:hAnsi="Calibri"/>
          <w:color w:val="7F7F7F" w:themeColor="text1" w:themeTint="80"/>
          <w:sz w:val="26"/>
          <w:szCs w:val="27"/>
        </w:rPr>
        <w:t xml:space="preserve"> de s</w:t>
      </w:r>
      <w:r>
        <w:rPr>
          <w:rFonts w:ascii="Calibri" w:hAnsi="Calibri"/>
          <w:color w:val="7F7F7F" w:themeColor="text1" w:themeTint="80"/>
          <w:sz w:val="26"/>
          <w:szCs w:val="27"/>
        </w:rPr>
        <w:t>eptiembre</w:t>
      </w:r>
      <w:r w:rsidRPr="00C14C6C">
        <w:rPr>
          <w:rFonts w:ascii="Calibri" w:hAnsi="Calibri"/>
          <w:color w:val="7F7F7F" w:themeColor="text1" w:themeTint="80"/>
          <w:sz w:val="26"/>
          <w:szCs w:val="27"/>
        </w:rPr>
        <w:t xml:space="preserve"> del </w:t>
      </w:r>
      <w:r>
        <w:rPr>
          <w:rFonts w:ascii="Calibri" w:hAnsi="Calibri"/>
          <w:color w:val="7F7F7F" w:themeColor="text1" w:themeTint="80"/>
          <w:sz w:val="26"/>
          <w:szCs w:val="27"/>
        </w:rPr>
        <w:t xml:space="preserve">año </w:t>
      </w:r>
      <w:r w:rsidRPr="00C14C6C">
        <w:rPr>
          <w:rFonts w:ascii="Calibri" w:hAnsi="Calibri"/>
          <w:color w:val="7F7F7F" w:themeColor="text1" w:themeTint="80"/>
          <w:sz w:val="26"/>
          <w:szCs w:val="27"/>
        </w:rPr>
        <w:t xml:space="preserve">2013 dos mil trece, se tuvo a la Tesorería Municipal, </w:t>
      </w:r>
      <w:r>
        <w:rPr>
          <w:rFonts w:ascii="Calibri" w:hAnsi="Calibri"/>
          <w:color w:val="7F7F7F" w:themeColor="text1" w:themeTint="80"/>
          <w:sz w:val="26"/>
          <w:szCs w:val="27"/>
        </w:rPr>
        <w:t>a través de su</w:t>
      </w:r>
      <w:r w:rsidRPr="00C14C6C">
        <w:rPr>
          <w:rFonts w:ascii="Calibri" w:hAnsi="Calibri"/>
          <w:color w:val="7F7F7F" w:themeColor="text1" w:themeTint="80"/>
          <w:sz w:val="26"/>
          <w:szCs w:val="27"/>
        </w:rPr>
        <w:t xml:space="preserve"> titular,</w:t>
      </w:r>
      <w:r>
        <w:rPr>
          <w:rFonts w:ascii="Calibri" w:hAnsi="Calibri"/>
          <w:color w:val="7F7F7F" w:themeColor="text1" w:themeTint="80"/>
          <w:sz w:val="26"/>
          <w:szCs w:val="27"/>
        </w:rPr>
        <w:t xml:space="preserve"> y a las demás </w:t>
      </w:r>
      <w:r w:rsidRPr="00C14C6C">
        <w:rPr>
          <w:rFonts w:ascii="Calibri" w:hAnsi="Calibri"/>
          <w:color w:val="7F7F7F" w:themeColor="text1" w:themeTint="80"/>
          <w:sz w:val="26"/>
          <w:szCs w:val="27"/>
        </w:rPr>
        <w:t>de</w:t>
      </w:r>
      <w:r>
        <w:rPr>
          <w:rFonts w:ascii="Calibri" w:hAnsi="Calibri"/>
          <w:color w:val="7F7F7F" w:themeColor="text1" w:themeTint="80"/>
          <w:sz w:val="26"/>
          <w:szCs w:val="27"/>
        </w:rPr>
        <w:t>mandadas,</w:t>
      </w:r>
      <w:r w:rsidRPr="00C14C6C">
        <w:rPr>
          <w:rFonts w:ascii="Calibri" w:hAnsi="Calibri"/>
          <w:color w:val="7F7F7F" w:themeColor="text1" w:themeTint="80"/>
          <w:sz w:val="26"/>
          <w:szCs w:val="27"/>
        </w:rPr>
        <w:t xml:space="preserve"> </w:t>
      </w:r>
      <w:r w:rsidRPr="00C14C6C">
        <w:rPr>
          <w:rFonts w:ascii="Calibri" w:hAnsi="Calibri"/>
          <w:b/>
          <w:color w:val="7F7F7F" w:themeColor="text1" w:themeTint="80"/>
          <w:sz w:val="26"/>
          <w:szCs w:val="27"/>
        </w:rPr>
        <w:t>por contestando</w:t>
      </w:r>
      <w:r w:rsidRPr="00C14C6C">
        <w:rPr>
          <w:rFonts w:ascii="Calibri" w:hAnsi="Calibri"/>
          <w:color w:val="7F7F7F" w:themeColor="text1" w:themeTint="80"/>
          <w:sz w:val="26"/>
          <w:szCs w:val="27"/>
        </w:rPr>
        <w:t xml:space="preserve"> en tiempo y forma legal, la demanda interpuesta en su contra; teniéndoles por ofrecidas y admitidas como pruebas de su parte, la documental admitida a la parte actora, así como las que anexaron a sus escritos de contestación -pruebas que se tuvieron desde ese momento por desahogadas-; y la </w:t>
      </w:r>
      <w:proofErr w:type="spellStart"/>
      <w:r w:rsidRPr="00C14C6C">
        <w:rPr>
          <w:rFonts w:ascii="Calibri" w:hAnsi="Calibri"/>
          <w:color w:val="7F7F7F" w:themeColor="text1" w:themeTint="80"/>
          <w:sz w:val="26"/>
          <w:szCs w:val="27"/>
        </w:rPr>
        <w:t>presuncional</w:t>
      </w:r>
      <w:proofErr w:type="spellEnd"/>
      <w:r w:rsidRPr="00C14C6C">
        <w:rPr>
          <w:rFonts w:ascii="Calibri" w:hAnsi="Calibri"/>
          <w:color w:val="7F7F7F" w:themeColor="text1" w:themeTint="80"/>
          <w:sz w:val="26"/>
          <w:szCs w:val="27"/>
        </w:rPr>
        <w:t xml:space="preserve"> en su doble aspecto. . . . . . . . . . . . . </w:t>
      </w:r>
      <w:r>
        <w:rPr>
          <w:rFonts w:ascii="Calibri" w:hAnsi="Calibri"/>
          <w:color w:val="7F7F7F" w:themeColor="text1" w:themeTint="80"/>
          <w:sz w:val="26"/>
          <w:szCs w:val="27"/>
        </w:rPr>
        <w:t>. . . . . . . . . . . .</w:t>
      </w:r>
    </w:p>
    <w:p w:rsidR="00112CDC" w:rsidRDefault="00112CDC" w:rsidP="00112CDC">
      <w:pPr>
        <w:pStyle w:val="Textoindependiente"/>
        <w:ind w:firstLine="708"/>
        <w:rPr>
          <w:rFonts w:ascii="Calibri" w:hAnsi="Calibri"/>
          <w:color w:val="7F7F7F" w:themeColor="text1" w:themeTint="80"/>
          <w:sz w:val="26"/>
          <w:szCs w:val="27"/>
        </w:rPr>
      </w:pPr>
    </w:p>
    <w:p w:rsidR="00112CDC" w:rsidRPr="00C14C6C" w:rsidRDefault="00112CDC" w:rsidP="00112CDC">
      <w:pPr>
        <w:pStyle w:val="Textoindependiente"/>
        <w:ind w:firstLine="708"/>
        <w:rPr>
          <w:rFonts w:ascii="Calibri" w:hAnsi="Calibri"/>
          <w:color w:val="7F7F7F" w:themeColor="text1" w:themeTint="80"/>
          <w:sz w:val="26"/>
          <w:szCs w:val="27"/>
        </w:rPr>
      </w:pPr>
      <w:r>
        <w:rPr>
          <w:rFonts w:ascii="Calibri" w:hAnsi="Calibri"/>
          <w:color w:val="7F7F7F" w:themeColor="text1" w:themeTint="80"/>
          <w:sz w:val="26"/>
          <w:szCs w:val="27"/>
        </w:rPr>
        <w:t>Respecto de la confesión expresa del actor, no se admitió, al no precisar los hechos propios que consideraron, la parte actora confesó al interponer su demanda.  . . . . . . . . . . . . . . . . . . . . . . . . . . . . . . . . . . . . . . . . . . . . . . . . . . . . . . . . . . . .</w:t>
      </w:r>
    </w:p>
    <w:p w:rsidR="00112CDC" w:rsidRPr="00C14C6C" w:rsidRDefault="00112CDC" w:rsidP="00112CDC">
      <w:pPr>
        <w:pStyle w:val="Textoindependiente"/>
        <w:rPr>
          <w:rFonts w:ascii="Calibri" w:hAnsi="Calibri"/>
          <w:color w:val="7F7F7F" w:themeColor="text1" w:themeTint="80"/>
          <w:sz w:val="26"/>
          <w:szCs w:val="27"/>
        </w:rPr>
      </w:pPr>
    </w:p>
    <w:p w:rsidR="00112CDC" w:rsidRPr="00C14C6C" w:rsidRDefault="00112CDC" w:rsidP="00112CDC">
      <w:pPr>
        <w:pStyle w:val="Textoindependiente"/>
        <w:ind w:firstLine="708"/>
        <w:rPr>
          <w:rFonts w:ascii="Calibri" w:hAnsi="Calibri" w:cs="Arial"/>
          <w:color w:val="7F7F7F" w:themeColor="text1" w:themeTint="80"/>
          <w:sz w:val="26"/>
          <w:szCs w:val="27"/>
        </w:rPr>
      </w:pPr>
      <w:r w:rsidRPr="00C14C6C">
        <w:rPr>
          <w:rFonts w:ascii="Calibri" w:hAnsi="Calibri"/>
          <w:color w:val="7F7F7F" w:themeColor="text1" w:themeTint="80"/>
          <w:sz w:val="26"/>
          <w:szCs w:val="27"/>
        </w:rPr>
        <w:t xml:space="preserve">De este modo, al no existir pruebas pendientes de desahogo y por ser el momento procesal oportuno, se citó a las partes a la audiencia de alegatos, a celebrarse el día </w:t>
      </w:r>
      <w:r>
        <w:rPr>
          <w:rFonts w:ascii="Calibri" w:hAnsi="Calibri"/>
          <w:color w:val="7F7F7F" w:themeColor="text1" w:themeTint="80"/>
          <w:sz w:val="26"/>
          <w:szCs w:val="27"/>
        </w:rPr>
        <w:t>11</w:t>
      </w:r>
      <w:r w:rsidRPr="00C14C6C">
        <w:rPr>
          <w:rFonts w:ascii="Calibri" w:hAnsi="Calibri"/>
          <w:color w:val="7F7F7F" w:themeColor="text1" w:themeTint="80"/>
          <w:sz w:val="26"/>
          <w:szCs w:val="27"/>
        </w:rPr>
        <w:t xml:space="preserve"> </w:t>
      </w:r>
      <w:r>
        <w:rPr>
          <w:rFonts w:ascii="Calibri" w:hAnsi="Calibri"/>
          <w:color w:val="7F7F7F" w:themeColor="text1" w:themeTint="80"/>
          <w:sz w:val="26"/>
          <w:szCs w:val="27"/>
        </w:rPr>
        <w:t>onc</w:t>
      </w:r>
      <w:r w:rsidRPr="00C14C6C">
        <w:rPr>
          <w:rFonts w:ascii="Calibri" w:hAnsi="Calibri"/>
          <w:color w:val="7F7F7F" w:themeColor="text1" w:themeTint="80"/>
          <w:sz w:val="26"/>
          <w:szCs w:val="27"/>
        </w:rPr>
        <w:t xml:space="preserve">e de </w:t>
      </w:r>
      <w:r>
        <w:rPr>
          <w:rFonts w:ascii="Calibri" w:hAnsi="Calibri"/>
          <w:color w:val="7F7F7F" w:themeColor="text1" w:themeTint="80"/>
          <w:sz w:val="26"/>
          <w:szCs w:val="27"/>
        </w:rPr>
        <w:t>novi</w:t>
      </w:r>
      <w:r w:rsidRPr="00C14C6C">
        <w:rPr>
          <w:rFonts w:ascii="Calibri" w:hAnsi="Calibri"/>
          <w:color w:val="7F7F7F" w:themeColor="text1" w:themeTint="80"/>
          <w:sz w:val="26"/>
          <w:szCs w:val="27"/>
        </w:rPr>
        <w:t>embre de ese año</w:t>
      </w:r>
      <w:r>
        <w:rPr>
          <w:rFonts w:ascii="Calibri" w:hAnsi="Calibri"/>
          <w:color w:val="7F7F7F" w:themeColor="text1" w:themeTint="80"/>
          <w:sz w:val="26"/>
          <w:szCs w:val="27"/>
        </w:rPr>
        <w:t xml:space="preserve"> 2013 dos mil trece</w:t>
      </w:r>
      <w:r w:rsidRPr="00C14C6C">
        <w:rPr>
          <w:rFonts w:ascii="Calibri" w:hAnsi="Calibri"/>
          <w:color w:val="7F7F7F" w:themeColor="text1" w:themeTint="80"/>
          <w:sz w:val="26"/>
          <w:szCs w:val="27"/>
        </w:rPr>
        <w:t>, a las 10:</w:t>
      </w:r>
      <w:r>
        <w:rPr>
          <w:rFonts w:ascii="Calibri" w:hAnsi="Calibri"/>
          <w:color w:val="7F7F7F" w:themeColor="text1" w:themeTint="80"/>
          <w:sz w:val="26"/>
          <w:szCs w:val="27"/>
        </w:rPr>
        <w:t>3</w:t>
      </w:r>
      <w:r w:rsidRPr="00C14C6C">
        <w:rPr>
          <w:rFonts w:ascii="Calibri" w:hAnsi="Calibri"/>
          <w:color w:val="7F7F7F" w:themeColor="text1" w:themeTint="80"/>
          <w:sz w:val="26"/>
          <w:szCs w:val="27"/>
        </w:rPr>
        <w:t>0 diez horas</w:t>
      </w:r>
      <w:r>
        <w:rPr>
          <w:rFonts w:ascii="Calibri" w:hAnsi="Calibri"/>
          <w:color w:val="7F7F7F" w:themeColor="text1" w:themeTint="80"/>
          <w:sz w:val="26"/>
          <w:szCs w:val="27"/>
        </w:rPr>
        <w:t xml:space="preserve"> con treinta minutos</w:t>
      </w:r>
      <w:r w:rsidRPr="00C14C6C">
        <w:rPr>
          <w:rFonts w:ascii="Calibri" w:hAnsi="Calibri"/>
          <w:color w:val="7F7F7F" w:themeColor="text1" w:themeTint="80"/>
          <w:sz w:val="26"/>
          <w:szCs w:val="27"/>
        </w:rPr>
        <w:t>, en el recinto de este Juzgado. . . . . . . . . . . .</w:t>
      </w:r>
      <w:r>
        <w:rPr>
          <w:rFonts w:ascii="Calibri" w:hAnsi="Calibri"/>
          <w:color w:val="7F7F7F" w:themeColor="text1" w:themeTint="80"/>
          <w:sz w:val="26"/>
          <w:szCs w:val="27"/>
        </w:rPr>
        <w:t xml:space="preserve"> . . . . . .   </w:t>
      </w:r>
    </w:p>
    <w:p w:rsidR="00112CDC" w:rsidRPr="00C14C6C" w:rsidRDefault="00112CDC" w:rsidP="00112CDC">
      <w:pPr>
        <w:jc w:val="both"/>
        <w:rPr>
          <w:rFonts w:ascii="Calibri" w:hAnsi="Calibri"/>
          <w:b/>
          <w:bCs/>
          <w:i/>
          <w:iCs/>
          <w:color w:val="7F7F7F" w:themeColor="text1" w:themeTint="80"/>
          <w:sz w:val="26"/>
          <w:szCs w:val="27"/>
          <w:lang w:val="es-MX"/>
        </w:rPr>
      </w:pPr>
    </w:p>
    <w:p w:rsidR="00112CDC" w:rsidRDefault="00112CDC" w:rsidP="00112CDC">
      <w:pPr>
        <w:ind w:firstLine="708"/>
        <w:jc w:val="both"/>
        <w:rPr>
          <w:rFonts w:ascii="Calibri" w:hAnsi="Calibri" w:cs="Arial"/>
          <w:color w:val="7F7F7F" w:themeColor="text1" w:themeTint="80"/>
          <w:sz w:val="26"/>
          <w:szCs w:val="27"/>
        </w:rPr>
      </w:pPr>
      <w:proofErr w:type="gramStart"/>
      <w:r>
        <w:rPr>
          <w:rFonts w:ascii="Calibri" w:hAnsi="Calibri"/>
          <w:b/>
          <w:i/>
          <w:color w:val="7F7F7F" w:themeColor="text1" w:themeTint="80"/>
          <w:sz w:val="26"/>
          <w:szCs w:val="27"/>
        </w:rPr>
        <w:t>CUART</w:t>
      </w:r>
      <w:r w:rsidRPr="00C14C6C">
        <w:rPr>
          <w:rFonts w:ascii="Calibri" w:hAnsi="Calibri"/>
          <w:b/>
          <w:i/>
          <w:color w:val="7F7F7F" w:themeColor="text1" w:themeTint="80"/>
          <w:sz w:val="26"/>
          <w:szCs w:val="27"/>
        </w:rPr>
        <w:t>O.-</w:t>
      </w:r>
      <w:proofErr w:type="gramEnd"/>
      <w:r w:rsidRPr="00C14C6C">
        <w:rPr>
          <w:rFonts w:ascii="Calibri" w:hAnsi="Calibri"/>
          <w:color w:val="7F7F7F" w:themeColor="text1" w:themeTint="80"/>
          <w:sz w:val="26"/>
        </w:rPr>
        <w:t xml:space="preserve"> En la fecha y hora señaladas en el resultando anterior, </w:t>
      </w:r>
      <w:r w:rsidRPr="00C14C6C">
        <w:rPr>
          <w:rFonts w:ascii="Calibri" w:hAnsi="Calibri" w:cs="Arial"/>
          <w:color w:val="7F7F7F" w:themeColor="text1" w:themeTint="80"/>
          <w:sz w:val="26"/>
        </w:rPr>
        <w:t>se llevó a cabo la audiencia de alegatos, en la que, una vez declarada abierta, se hizo constar la inasistencia de las partes y que ninguna de ellas formuló alegatos; por lo que se turnaron los autos para el dictado de la sentencia que en derecho proceda</w:t>
      </w:r>
      <w:r w:rsidRPr="00C14C6C">
        <w:rPr>
          <w:rFonts w:ascii="Calibri" w:hAnsi="Calibri" w:cs="Arial"/>
          <w:color w:val="7F7F7F" w:themeColor="text1" w:themeTint="80"/>
          <w:sz w:val="26"/>
          <w:szCs w:val="27"/>
        </w:rPr>
        <w:t xml:space="preserve">. . . . </w:t>
      </w:r>
      <w:r>
        <w:rPr>
          <w:rFonts w:ascii="Calibri" w:hAnsi="Calibri" w:cs="Arial"/>
          <w:color w:val="7F7F7F" w:themeColor="text1" w:themeTint="80"/>
          <w:sz w:val="26"/>
          <w:szCs w:val="27"/>
        </w:rPr>
        <w:t xml:space="preserve">. . . . . . . . . . . . . . . . . . . . . . . . . . . . . . . . . . . . . . . . . . . . . . . . . . . . . . . . . . </w:t>
      </w:r>
    </w:p>
    <w:p w:rsidR="00112CDC" w:rsidRPr="00C14C6C" w:rsidRDefault="00112CDC" w:rsidP="00112CDC">
      <w:pPr>
        <w:ind w:firstLine="708"/>
        <w:jc w:val="both"/>
        <w:rPr>
          <w:rFonts w:ascii="Calibri" w:hAnsi="Calibri" w:cs="Arial"/>
          <w:color w:val="7F7F7F" w:themeColor="text1" w:themeTint="80"/>
          <w:sz w:val="22"/>
          <w:szCs w:val="27"/>
        </w:rPr>
      </w:pPr>
    </w:p>
    <w:p w:rsidR="00112CDC" w:rsidRPr="00C14C6C" w:rsidRDefault="00112CDC" w:rsidP="00112CDC">
      <w:pPr>
        <w:pStyle w:val="Textoindependiente"/>
        <w:ind w:firstLine="708"/>
        <w:jc w:val="center"/>
        <w:rPr>
          <w:rFonts w:ascii="Calibri" w:hAnsi="Calibri" w:cs="Arial"/>
          <w:b/>
          <w:bCs/>
          <w:i/>
          <w:iCs/>
          <w:color w:val="7F7F7F" w:themeColor="text1" w:themeTint="80"/>
          <w:sz w:val="26"/>
          <w:szCs w:val="27"/>
        </w:rPr>
      </w:pPr>
      <w:r w:rsidRPr="00C14C6C">
        <w:rPr>
          <w:rFonts w:ascii="Calibri" w:hAnsi="Calibri" w:cs="Arial"/>
          <w:b/>
          <w:bCs/>
          <w:i/>
          <w:iCs/>
          <w:color w:val="7F7F7F" w:themeColor="text1" w:themeTint="80"/>
          <w:sz w:val="26"/>
          <w:szCs w:val="27"/>
        </w:rPr>
        <w:t xml:space="preserve">C O N S I D E R A N D </w:t>
      </w:r>
      <w:proofErr w:type="gramStart"/>
      <w:r w:rsidRPr="00C14C6C">
        <w:rPr>
          <w:rFonts w:ascii="Calibri" w:hAnsi="Calibri" w:cs="Arial"/>
          <w:b/>
          <w:bCs/>
          <w:i/>
          <w:iCs/>
          <w:color w:val="7F7F7F" w:themeColor="text1" w:themeTint="80"/>
          <w:sz w:val="26"/>
          <w:szCs w:val="27"/>
        </w:rPr>
        <w:t>O :</w:t>
      </w:r>
      <w:proofErr w:type="gramEnd"/>
    </w:p>
    <w:p w:rsidR="00112CDC" w:rsidRPr="00C14C6C" w:rsidRDefault="00112CDC" w:rsidP="00112CDC">
      <w:pPr>
        <w:pStyle w:val="Textoindependiente"/>
        <w:ind w:firstLine="708"/>
        <w:jc w:val="center"/>
        <w:rPr>
          <w:rFonts w:ascii="Calibri" w:hAnsi="Calibri" w:cs="Arial"/>
          <w:b/>
          <w:bCs/>
          <w:color w:val="7F7F7F" w:themeColor="text1" w:themeTint="80"/>
          <w:sz w:val="22"/>
          <w:szCs w:val="27"/>
        </w:rPr>
      </w:pPr>
    </w:p>
    <w:p w:rsidR="00112CDC" w:rsidRPr="00C14C6C" w:rsidRDefault="00112CDC" w:rsidP="00112CDC">
      <w:pPr>
        <w:pStyle w:val="Textoindependiente"/>
        <w:ind w:firstLine="708"/>
        <w:rPr>
          <w:rFonts w:ascii="Calibri" w:hAnsi="Calibri" w:cs="Arial"/>
          <w:color w:val="7F7F7F" w:themeColor="text1" w:themeTint="80"/>
          <w:sz w:val="26"/>
          <w:szCs w:val="27"/>
        </w:rPr>
      </w:pPr>
      <w:r w:rsidRPr="00C14C6C">
        <w:rPr>
          <w:rFonts w:ascii="Calibri" w:hAnsi="Calibri" w:cs="Arial"/>
          <w:b/>
          <w:bCs/>
          <w:i/>
          <w:iCs/>
          <w:color w:val="7F7F7F" w:themeColor="text1" w:themeTint="80"/>
          <w:sz w:val="26"/>
          <w:szCs w:val="27"/>
        </w:rPr>
        <w:t>PRIMERO</w:t>
      </w:r>
      <w:r w:rsidRPr="00C14C6C">
        <w:rPr>
          <w:rFonts w:ascii="Calibri" w:hAnsi="Calibri" w:cs="Arial"/>
          <w:b/>
          <w:bCs/>
          <w:color w:val="7F7F7F" w:themeColor="text1" w:themeTint="80"/>
          <w:sz w:val="26"/>
          <w:szCs w:val="27"/>
        </w:rPr>
        <w:t xml:space="preserve">.- </w:t>
      </w:r>
      <w:r w:rsidRPr="00C14C6C">
        <w:rPr>
          <w:rFonts w:ascii="Calibri" w:hAnsi="Calibri" w:cs="Arial"/>
          <w:color w:val="7F7F7F" w:themeColor="text1" w:themeTint="80"/>
          <w:sz w:val="26"/>
          <w:szCs w:val="27"/>
        </w:rPr>
        <w:t xml:space="preserve">Este Juzgado Segundo Administrativo Municipal es competente para conocer y resolver el presente proceso administrativo </w:t>
      </w:r>
      <w:r w:rsidRPr="00C14C6C">
        <w:rPr>
          <w:rFonts w:ascii="Calibri" w:hAnsi="Calibri" w:cs="Arial"/>
          <w:color w:val="7F7F7F" w:themeColor="text1" w:themeTint="80"/>
          <w:sz w:val="26"/>
        </w:rPr>
        <w:t xml:space="preserve">en base a lo previsto por los artículos 241, 243, párrafo segundo y 244 de la Ley Orgánica Municipal para el Estado de Guanajuato; y, </w:t>
      </w:r>
      <w:r w:rsidRPr="00C14C6C">
        <w:rPr>
          <w:rFonts w:ascii="Calibri" w:hAnsi="Calibri" w:cs="Arial"/>
          <w:color w:val="7F7F7F" w:themeColor="text1" w:themeTint="80"/>
          <w:sz w:val="26"/>
          <w:szCs w:val="27"/>
        </w:rPr>
        <w:t>1, fracción II, y 3, párrafo segundo, del Código de Procedimiento y Justicia Administrativa para el Estado y los Municipios de Guanajuato; toda vez que se impugnan actos atribuidos a la Tesorería Municipal</w:t>
      </w:r>
      <w:r>
        <w:rPr>
          <w:rFonts w:ascii="Calibri" w:hAnsi="Calibri" w:cs="Arial"/>
          <w:color w:val="7F7F7F" w:themeColor="text1" w:themeTint="80"/>
          <w:sz w:val="26"/>
          <w:szCs w:val="27"/>
        </w:rPr>
        <w:t>,</w:t>
      </w:r>
      <w:r w:rsidRPr="00C14C6C">
        <w:rPr>
          <w:rFonts w:ascii="Calibri" w:hAnsi="Calibri" w:cs="Arial"/>
          <w:color w:val="7F7F7F" w:themeColor="text1" w:themeTint="80"/>
          <w:sz w:val="26"/>
          <w:szCs w:val="27"/>
        </w:rPr>
        <w:t xml:space="preserve"> </w:t>
      </w:r>
      <w:r>
        <w:rPr>
          <w:rFonts w:ascii="Calibri" w:hAnsi="Calibri" w:cs="Arial"/>
          <w:color w:val="7F7F7F" w:themeColor="text1" w:themeTint="80"/>
          <w:sz w:val="26"/>
          <w:szCs w:val="27"/>
        </w:rPr>
        <w:t>y a</w:t>
      </w:r>
      <w:r w:rsidRPr="00C14C6C">
        <w:rPr>
          <w:rFonts w:ascii="Calibri" w:hAnsi="Calibri" w:cs="Arial"/>
          <w:color w:val="7F7F7F" w:themeColor="text1" w:themeTint="80"/>
          <w:sz w:val="26"/>
          <w:szCs w:val="27"/>
        </w:rPr>
        <w:t xml:space="preserve"> la</w:t>
      </w:r>
      <w:r>
        <w:rPr>
          <w:rFonts w:ascii="Calibri" w:hAnsi="Calibri" w:cs="Arial"/>
          <w:color w:val="7F7F7F" w:themeColor="text1" w:themeTint="80"/>
          <w:sz w:val="26"/>
          <w:szCs w:val="27"/>
        </w:rPr>
        <w:t>s Direccio</w:t>
      </w:r>
      <w:r w:rsidRPr="00C14C6C">
        <w:rPr>
          <w:rFonts w:ascii="Calibri" w:hAnsi="Calibri" w:cs="Arial"/>
          <w:color w:val="7F7F7F" w:themeColor="text1" w:themeTint="80"/>
          <w:sz w:val="26"/>
          <w:szCs w:val="27"/>
        </w:rPr>
        <w:t>n</w:t>
      </w:r>
      <w:r>
        <w:rPr>
          <w:rFonts w:ascii="Calibri" w:hAnsi="Calibri" w:cs="Arial"/>
          <w:color w:val="7F7F7F" w:themeColor="text1" w:themeTint="80"/>
          <w:sz w:val="26"/>
          <w:szCs w:val="27"/>
        </w:rPr>
        <w:t>es</w:t>
      </w:r>
      <w:r w:rsidRPr="00C14C6C">
        <w:rPr>
          <w:rFonts w:ascii="Calibri" w:hAnsi="Calibri" w:cs="Arial"/>
          <w:color w:val="7F7F7F" w:themeColor="text1" w:themeTint="80"/>
          <w:sz w:val="26"/>
          <w:szCs w:val="27"/>
        </w:rPr>
        <w:t xml:space="preserve"> de Impuestos Inmobiliarios y de </w:t>
      </w:r>
      <w:r>
        <w:rPr>
          <w:rFonts w:ascii="Calibri" w:hAnsi="Calibri" w:cs="Arial"/>
          <w:color w:val="7F7F7F" w:themeColor="text1" w:themeTint="80"/>
          <w:sz w:val="26"/>
          <w:szCs w:val="27"/>
        </w:rPr>
        <w:t>Ejecución</w:t>
      </w:r>
      <w:r w:rsidRPr="00C14C6C">
        <w:rPr>
          <w:rFonts w:ascii="Calibri" w:hAnsi="Calibri" w:cs="Arial"/>
          <w:color w:val="7F7F7F" w:themeColor="text1" w:themeTint="80"/>
          <w:sz w:val="26"/>
          <w:szCs w:val="27"/>
        </w:rPr>
        <w:t xml:space="preserve">, autoridades que forman parte de la Administración Pública Municipal de León, Guanajuato. . . . . . </w:t>
      </w:r>
      <w:r>
        <w:rPr>
          <w:rFonts w:ascii="Calibri" w:hAnsi="Calibri" w:cs="Arial"/>
          <w:color w:val="7F7F7F" w:themeColor="text1" w:themeTint="80"/>
          <w:sz w:val="26"/>
          <w:szCs w:val="27"/>
        </w:rPr>
        <w:t>. . . . . . . . . . . . . . . . . . . . . . . . . . . . . . . . . . . . . . . . . . . . . .</w:t>
      </w:r>
    </w:p>
    <w:p w:rsidR="00112CDC" w:rsidRPr="00C14C6C" w:rsidRDefault="00112CDC" w:rsidP="00112CDC">
      <w:pPr>
        <w:pStyle w:val="Textoindependiente"/>
        <w:jc w:val="right"/>
        <w:rPr>
          <w:rFonts w:ascii="Calibri" w:hAnsi="Calibri" w:cs="Arial"/>
          <w:b/>
          <w:bCs/>
          <w:color w:val="7F7F7F" w:themeColor="text1" w:themeTint="80"/>
          <w:sz w:val="26"/>
          <w:szCs w:val="27"/>
        </w:rPr>
      </w:pPr>
    </w:p>
    <w:p w:rsidR="00112CDC" w:rsidRPr="00C14C6C" w:rsidRDefault="00112CDC" w:rsidP="00112CDC">
      <w:pPr>
        <w:pStyle w:val="Textoindependiente"/>
        <w:ind w:firstLine="708"/>
        <w:rPr>
          <w:rFonts w:ascii="Calibri" w:hAnsi="Calibri" w:cs="Arial"/>
          <w:color w:val="7F7F7F" w:themeColor="text1" w:themeTint="80"/>
          <w:sz w:val="26"/>
          <w:szCs w:val="27"/>
        </w:rPr>
      </w:pPr>
      <w:proofErr w:type="gramStart"/>
      <w:r w:rsidRPr="00C14C6C">
        <w:rPr>
          <w:rFonts w:ascii="Calibri" w:hAnsi="Calibri" w:cs="Arial"/>
          <w:b/>
          <w:bCs/>
          <w:i/>
          <w:iCs/>
          <w:color w:val="7F7F7F" w:themeColor="text1" w:themeTint="80"/>
          <w:sz w:val="26"/>
          <w:szCs w:val="27"/>
        </w:rPr>
        <w:t>SEGUNDO</w:t>
      </w:r>
      <w:r w:rsidRPr="00C14C6C">
        <w:rPr>
          <w:rFonts w:ascii="Calibri" w:hAnsi="Calibri" w:cs="Arial"/>
          <w:b/>
          <w:bCs/>
          <w:color w:val="7F7F7F" w:themeColor="text1" w:themeTint="80"/>
          <w:sz w:val="26"/>
          <w:szCs w:val="27"/>
        </w:rPr>
        <w:t>.-</w:t>
      </w:r>
      <w:proofErr w:type="gramEnd"/>
      <w:r w:rsidRPr="00C14C6C">
        <w:rPr>
          <w:rFonts w:ascii="Calibri" w:hAnsi="Calibri" w:cs="Arial"/>
          <w:b/>
          <w:bCs/>
          <w:color w:val="7F7F7F" w:themeColor="text1" w:themeTint="80"/>
          <w:sz w:val="26"/>
          <w:szCs w:val="27"/>
        </w:rPr>
        <w:t xml:space="preserve"> </w:t>
      </w:r>
      <w:r w:rsidRPr="00C14C6C">
        <w:rPr>
          <w:rFonts w:ascii="Calibri" w:hAnsi="Calibri" w:cs="Arial"/>
          <w:color w:val="7F7F7F" w:themeColor="text1" w:themeTint="80"/>
          <w:sz w:val="26"/>
          <w:szCs w:val="27"/>
        </w:rPr>
        <w:t xml:space="preserve">El presente proceso fue promovido oportunamente, toda vez que la demanda fue presentada dentro de los 30 treinta días hábiles siguientes a aquél en que el actor se ostenta sabedor de los actos impugnados, lo que refiere fue el día </w:t>
      </w:r>
      <w:r>
        <w:rPr>
          <w:rFonts w:ascii="Calibri" w:hAnsi="Calibri" w:cs="Arial"/>
          <w:color w:val="7F7F7F" w:themeColor="text1" w:themeTint="80"/>
          <w:sz w:val="26"/>
          <w:szCs w:val="27"/>
        </w:rPr>
        <w:t>9</w:t>
      </w:r>
      <w:r w:rsidRPr="00C14C6C">
        <w:rPr>
          <w:rFonts w:ascii="Calibri" w:hAnsi="Calibri" w:cs="Arial"/>
          <w:color w:val="7F7F7F" w:themeColor="text1" w:themeTint="80"/>
          <w:sz w:val="26"/>
          <w:szCs w:val="27"/>
        </w:rPr>
        <w:t xml:space="preserve"> </w:t>
      </w:r>
      <w:r>
        <w:rPr>
          <w:rFonts w:ascii="Calibri" w:hAnsi="Calibri" w:cs="Arial"/>
          <w:color w:val="7F7F7F" w:themeColor="text1" w:themeTint="80"/>
          <w:sz w:val="26"/>
          <w:szCs w:val="27"/>
        </w:rPr>
        <w:t>nuev</w:t>
      </w:r>
      <w:r w:rsidRPr="00C14C6C">
        <w:rPr>
          <w:rFonts w:ascii="Calibri" w:hAnsi="Calibri" w:cs="Arial"/>
          <w:color w:val="7F7F7F" w:themeColor="text1" w:themeTint="80"/>
          <w:sz w:val="26"/>
          <w:szCs w:val="27"/>
        </w:rPr>
        <w:t>e de a</w:t>
      </w:r>
      <w:r>
        <w:rPr>
          <w:rFonts w:ascii="Calibri" w:hAnsi="Calibri" w:cs="Arial"/>
          <w:color w:val="7F7F7F" w:themeColor="text1" w:themeTint="80"/>
          <w:sz w:val="26"/>
          <w:szCs w:val="27"/>
        </w:rPr>
        <w:t>gost</w:t>
      </w:r>
      <w:r w:rsidRPr="00C14C6C">
        <w:rPr>
          <w:rFonts w:ascii="Calibri" w:hAnsi="Calibri" w:cs="Arial"/>
          <w:color w:val="7F7F7F" w:themeColor="text1" w:themeTint="80"/>
          <w:sz w:val="26"/>
          <w:szCs w:val="27"/>
        </w:rPr>
        <w:t>o del año 2013 dos mil trece, sin que de las constancias del presente expediente se desprenda lo contrario</w:t>
      </w:r>
      <w:r w:rsidRPr="00C14C6C">
        <w:rPr>
          <w:rFonts w:ascii="Calibri" w:hAnsi="Calibri"/>
          <w:color w:val="7F7F7F" w:themeColor="text1" w:themeTint="80"/>
          <w:sz w:val="26"/>
          <w:szCs w:val="27"/>
        </w:rPr>
        <w:t xml:space="preserve">. . . . . . . . . . . . . . . . </w:t>
      </w:r>
    </w:p>
    <w:p w:rsidR="00112CDC" w:rsidRPr="004B7586" w:rsidRDefault="00112CDC" w:rsidP="00112CDC">
      <w:pPr>
        <w:jc w:val="both"/>
        <w:rPr>
          <w:rFonts w:ascii="Calibri" w:hAnsi="Calibri"/>
          <w:b/>
          <w:iCs/>
          <w:color w:val="7F7F7F" w:themeColor="text1" w:themeTint="80"/>
          <w:sz w:val="26"/>
          <w:szCs w:val="27"/>
          <w:lang w:val="es-MX"/>
        </w:rPr>
      </w:pPr>
    </w:p>
    <w:p w:rsidR="00112CDC" w:rsidRDefault="00112CDC" w:rsidP="00112CDC">
      <w:pPr>
        <w:ind w:firstLine="708"/>
        <w:jc w:val="both"/>
        <w:rPr>
          <w:rFonts w:ascii="Calibri" w:hAnsi="Calibri"/>
          <w:bCs/>
          <w:color w:val="7F7F7F" w:themeColor="text1" w:themeTint="80"/>
          <w:sz w:val="26"/>
          <w:szCs w:val="27"/>
        </w:rPr>
      </w:pPr>
      <w:proofErr w:type="gramStart"/>
      <w:r w:rsidRPr="00C14C6C">
        <w:rPr>
          <w:rFonts w:ascii="Calibri" w:hAnsi="Calibri"/>
          <w:b/>
          <w:i/>
          <w:iCs/>
          <w:color w:val="7F7F7F" w:themeColor="text1" w:themeTint="80"/>
          <w:sz w:val="26"/>
          <w:szCs w:val="27"/>
        </w:rPr>
        <w:t>TERCERO.-</w:t>
      </w:r>
      <w:proofErr w:type="gramEnd"/>
      <w:r w:rsidRPr="00C14C6C">
        <w:rPr>
          <w:rFonts w:ascii="Calibri" w:hAnsi="Calibri"/>
          <w:b/>
          <w:i/>
          <w:iCs/>
          <w:color w:val="7F7F7F" w:themeColor="text1" w:themeTint="80"/>
          <w:sz w:val="26"/>
          <w:szCs w:val="27"/>
        </w:rPr>
        <w:t xml:space="preserve"> </w:t>
      </w:r>
      <w:r w:rsidRPr="00C14C6C">
        <w:rPr>
          <w:rFonts w:ascii="Calibri" w:hAnsi="Calibri"/>
          <w:color w:val="7F7F7F" w:themeColor="text1" w:themeTint="80"/>
          <w:sz w:val="26"/>
          <w:szCs w:val="27"/>
        </w:rPr>
        <w:t>La existencia del acto impugnado en la presente causa administrativa, consistente en</w:t>
      </w:r>
      <w:r>
        <w:rPr>
          <w:rFonts w:ascii="Calibri" w:hAnsi="Calibri"/>
          <w:color w:val="7F7F7F" w:themeColor="text1" w:themeTint="80"/>
          <w:sz w:val="26"/>
          <w:szCs w:val="27"/>
        </w:rPr>
        <w:t xml:space="preserve"> </w:t>
      </w:r>
      <w:r>
        <w:rPr>
          <w:rFonts w:ascii="Calibri" w:hAnsi="Calibri"/>
          <w:bCs/>
          <w:color w:val="7F7F7F" w:themeColor="text1" w:themeTint="80"/>
          <w:sz w:val="26"/>
          <w:szCs w:val="27"/>
        </w:rPr>
        <w:t xml:space="preserve">el procedimiento llevado a cabo para </w:t>
      </w:r>
      <w:proofErr w:type="spellStart"/>
      <w:r>
        <w:rPr>
          <w:rFonts w:ascii="Calibri" w:hAnsi="Calibri"/>
          <w:bCs/>
          <w:color w:val="7F7F7F" w:themeColor="text1" w:themeTint="80"/>
          <w:sz w:val="26"/>
          <w:szCs w:val="27"/>
        </w:rPr>
        <w:t>valuar</w:t>
      </w:r>
      <w:proofErr w:type="spellEnd"/>
      <w:r>
        <w:rPr>
          <w:rFonts w:ascii="Calibri" w:hAnsi="Calibri"/>
          <w:bCs/>
          <w:color w:val="7F7F7F" w:themeColor="text1" w:themeTint="80"/>
          <w:sz w:val="26"/>
          <w:szCs w:val="27"/>
        </w:rPr>
        <w:t xml:space="preserve"> el inmueble ubicado en la calle (.....), con cuenta predial número 01-L-000458-003; (cero-uno </w:t>
      </w:r>
    </w:p>
    <w:p w:rsidR="00112CDC" w:rsidRDefault="00112CDC" w:rsidP="00112CDC">
      <w:pPr>
        <w:pStyle w:val="Textoindependiente"/>
        <w:ind w:firstLine="708"/>
        <w:jc w:val="right"/>
        <w:rPr>
          <w:rFonts w:ascii="Calibri" w:hAnsi="Calibri"/>
          <w:b/>
          <w:color w:val="7F7F7F" w:themeColor="text1" w:themeTint="80"/>
          <w:sz w:val="26"/>
          <w:szCs w:val="27"/>
        </w:rPr>
      </w:pPr>
      <w:r>
        <w:rPr>
          <w:rFonts w:ascii="Calibri" w:hAnsi="Calibri"/>
          <w:b/>
          <w:color w:val="7F7F7F" w:themeColor="text1" w:themeTint="80"/>
          <w:sz w:val="26"/>
          <w:szCs w:val="27"/>
        </w:rPr>
        <w:t>Expediente número 618/2013-JN</w:t>
      </w:r>
    </w:p>
    <w:p w:rsidR="00112CDC" w:rsidRPr="004029C8" w:rsidRDefault="00112CDC" w:rsidP="00112CDC">
      <w:pPr>
        <w:ind w:firstLine="708"/>
        <w:jc w:val="both"/>
        <w:rPr>
          <w:rFonts w:ascii="Calibri" w:hAnsi="Calibri"/>
          <w:bCs/>
          <w:color w:val="7F7F7F" w:themeColor="text1" w:themeTint="80"/>
          <w:sz w:val="26"/>
          <w:szCs w:val="27"/>
          <w:lang w:val="es-MX"/>
        </w:rPr>
      </w:pPr>
    </w:p>
    <w:p w:rsidR="00112CDC" w:rsidRDefault="00112CDC" w:rsidP="00112CDC">
      <w:pPr>
        <w:jc w:val="both"/>
        <w:rPr>
          <w:rFonts w:ascii="Calibri" w:hAnsi="Calibri"/>
          <w:bCs/>
          <w:color w:val="7F7F7F" w:themeColor="text1" w:themeTint="80"/>
          <w:sz w:val="26"/>
          <w:szCs w:val="27"/>
        </w:rPr>
      </w:pPr>
      <w:r>
        <w:rPr>
          <w:rFonts w:ascii="Calibri" w:hAnsi="Calibri"/>
          <w:bCs/>
          <w:color w:val="7F7F7F" w:themeColor="text1" w:themeTint="80"/>
          <w:sz w:val="26"/>
          <w:szCs w:val="27"/>
        </w:rPr>
        <w:t xml:space="preserve">guion L guion cero-cero-cero-cuatro-cinco-ocho guion cero-cero-tres), el cual se fijó en la cantidad de $1’752,233.55 (Un millón setecientos cincuenta y dos mil doscientos treinta y tres pesos 55/100 Moneda Nacional); no se encuentra debidamente acreditado en la presente causa administrativa; toda vez que la parte actora no demostró que el procedimiento administrativo de ejecución y del que impugna el requerimiento de pago, haya derivado de un procedimiento de valuación, o que el valor del inmueble haya sido modificado, pues en todo caso, debió acreditar que el inmueble tenía con anterioridad un cierto valor, y que el mismo haya sido modificado por el valor impugnado en el presente asunto; lo que no acreditó la parte actora; de ahí que no se demuestre la existencia del procedimiento administrativo de valuación del que se duele; lo que se ahondará en el Considerando siguiente. . . . . . . . . . . . . . . . . . . . . . . . . . . . . . . . . . . . . . . . . . . . . </w:t>
      </w:r>
    </w:p>
    <w:p w:rsidR="00112CDC" w:rsidRDefault="00112CDC" w:rsidP="00112CDC">
      <w:pPr>
        <w:jc w:val="both"/>
        <w:rPr>
          <w:rFonts w:ascii="Calibri" w:hAnsi="Calibri"/>
          <w:bCs/>
          <w:color w:val="7F7F7F" w:themeColor="text1" w:themeTint="80"/>
          <w:sz w:val="26"/>
          <w:szCs w:val="27"/>
        </w:rPr>
      </w:pPr>
    </w:p>
    <w:p w:rsidR="00112CDC" w:rsidRPr="00C14C6C" w:rsidRDefault="00112CDC" w:rsidP="00112CDC">
      <w:pPr>
        <w:ind w:firstLine="708"/>
        <w:jc w:val="both"/>
        <w:rPr>
          <w:rFonts w:ascii="Calibri" w:hAnsi="Calibri"/>
          <w:bCs/>
          <w:color w:val="7F7F7F" w:themeColor="text1" w:themeTint="80"/>
          <w:sz w:val="26"/>
          <w:szCs w:val="27"/>
        </w:rPr>
      </w:pPr>
      <w:r>
        <w:rPr>
          <w:rFonts w:ascii="Calibri" w:hAnsi="Calibri"/>
          <w:color w:val="7F7F7F" w:themeColor="text1" w:themeTint="80"/>
          <w:sz w:val="26"/>
          <w:szCs w:val="27"/>
        </w:rPr>
        <w:t xml:space="preserve">Por otra parte, y respecto del restante acto impugnado, concerniente al </w:t>
      </w:r>
      <w:r>
        <w:rPr>
          <w:rFonts w:ascii="Calibri" w:hAnsi="Calibri"/>
          <w:bCs/>
          <w:color w:val="7F7F7F" w:themeColor="text1" w:themeTint="80"/>
          <w:sz w:val="26"/>
          <w:szCs w:val="27"/>
        </w:rPr>
        <w:t>requerimiento de pago, con número PR-2013-00471907 de fecha 18 dieciocho de julio del año 2013 dos mil trece, respecto del pago del impuesto predial del inmueble mencionado;</w:t>
      </w:r>
      <w:r w:rsidRPr="00C14C6C">
        <w:rPr>
          <w:rFonts w:ascii="Calibri" w:hAnsi="Calibri"/>
          <w:bCs/>
          <w:color w:val="7F7F7F" w:themeColor="text1" w:themeTint="80"/>
          <w:sz w:val="26"/>
          <w:szCs w:val="27"/>
        </w:rPr>
        <w:t xml:space="preserve"> </w:t>
      </w:r>
      <w:r>
        <w:rPr>
          <w:rFonts w:ascii="Calibri" w:hAnsi="Calibri"/>
          <w:bCs/>
          <w:color w:val="7F7F7F" w:themeColor="text1" w:themeTint="80"/>
          <w:sz w:val="26"/>
          <w:szCs w:val="27"/>
        </w:rPr>
        <w:t xml:space="preserve">sí </w:t>
      </w:r>
      <w:r w:rsidRPr="00C14C6C">
        <w:rPr>
          <w:rFonts w:ascii="Calibri" w:hAnsi="Calibri"/>
          <w:bCs/>
          <w:color w:val="7F7F7F" w:themeColor="text1" w:themeTint="80"/>
          <w:sz w:val="26"/>
          <w:szCs w:val="27"/>
        </w:rPr>
        <w:t xml:space="preserve">se encuentra acreditada </w:t>
      </w:r>
      <w:r>
        <w:rPr>
          <w:rFonts w:ascii="Calibri" w:hAnsi="Calibri"/>
          <w:bCs/>
          <w:color w:val="7F7F7F" w:themeColor="text1" w:themeTint="80"/>
          <w:sz w:val="26"/>
          <w:szCs w:val="27"/>
        </w:rPr>
        <w:t xml:space="preserve">su existencia </w:t>
      </w:r>
      <w:r w:rsidRPr="00C14C6C">
        <w:rPr>
          <w:rFonts w:ascii="Calibri" w:hAnsi="Calibri"/>
          <w:bCs/>
          <w:color w:val="7F7F7F" w:themeColor="text1" w:themeTint="80"/>
          <w:sz w:val="26"/>
          <w:szCs w:val="27"/>
        </w:rPr>
        <w:t xml:space="preserve">en autos, </w:t>
      </w:r>
      <w:r>
        <w:rPr>
          <w:rFonts w:ascii="Calibri" w:hAnsi="Calibri"/>
          <w:bCs/>
          <w:color w:val="7F7F7F" w:themeColor="text1" w:themeTint="80"/>
          <w:sz w:val="26"/>
          <w:szCs w:val="27"/>
        </w:rPr>
        <w:t xml:space="preserve">con </w:t>
      </w:r>
      <w:r w:rsidRPr="00C14C6C">
        <w:rPr>
          <w:rFonts w:ascii="Calibri" w:hAnsi="Calibri"/>
          <w:bCs/>
          <w:color w:val="7F7F7F" w:themeColor="text1" w:themeTint="80"/>
          <w:sz w:val="26"/>
          <w:szCs w:val="27"/>
        </w:rPr>
        <w:t xml:space="preserve">el original </w:t>
      </w:r>
      <w:proofErr w:type="gramStart"/>
      <w:r w:rsidRPr="00C14C6C">
        <w:rPr>
          <w:rFonts w:ascii="Calibri" w:hAnsi="Calibri"/>
          <w:bCs/>
          <w:color w:val="7F7F7F" w:themeColor="text1" w:themeTint="80"/>
          <w:sz w:val="26"/>
          <w:szCs w:val="27"/>
        </w:rPr>
        <w:t>de</w:t>
      </w:r>
      <w:r>
        <w:rPr>
          <w:rFonts w:ascii="Calibri" w:hAnsi="Calibri"/>
          <w:bCs/>
          <w:color w:val="7F7F7F" w:themeColor="text1" w:themeTint="80"/>
          <w:sz w:val="26"/>
          <w:szCs w:val="27"/>
        </w:rPr>
        <w:t xml:space="preserve"> </w:t>
      </w:r>
      <w:r w:rsidRPr="00C14C6C">
        <w:rPr>
          <w:rFonts w:ascii="Calibri" w:hAnsi="Calibri"/>
          <w:bCs/>
          <w:color w:val="7F7F7F" w:themeColor="text1" w:themeTint="80"/>
          <w:sz w:val="26"/>
          <w:szCs w:val="27"/>
        </w:rPr>
        <w:t xml:space="preserve"> </w:t>
      </w:r>
      <w:r>
        <w:rPr>
          <w:rFonts w:ascii="Calibri" w:hAnsi="Calibri"/>
          <w:bCs/>
          <w:color w:val="7F7F7F" w:themeColor="text1" w:themeTint="80"/>
          <w:sz w:val="26"/>
          <w:szCs w:val="27"/>
        </w:rPr>
        <w:t>ese</w:t>
      </w:r>
      <w:proofErr w:type="gramEnd"/>
      <w:r>
        <w:rPr>
          <w:rFonts w:ascii="Calibri" w:hAnsi="Calibri"/>
          <w:bCs/>
          <w:color w:val="7F7F7F" w:themeColor="text1" w:themeTint="80"/>
          <w:sz w:val="26"/>
          <w:szCs w:val="27"/>
        </w:rPr>
        <w:t xml:space="preserve"> propio requerimiento;</w:t>
      </w:r>
      <w:r w:rsidRPr="00C14C6C">
        <w:rPr>
          <w:rFonts w:ascii="Calibri" w:hAnsi="Calibri"/>
          <w:bCs/>
          <w:color w:val="7F7F7F" w:themeColor="text1" w:themeTint="80"/>
          <w:sz w:val="26"/>
          <w:szCs w:val="27"/>
        </w:rPr>
        <w:t xml:space="preserve"> </w:t>
      </w:r>
      <w:r>
        <w:rPr>
          <w:rFonts w:ascii="Calibri" w:hAnsi="Calibri"/>
          <w:bCs/>
          <w:color w:val="7F7F7F" w:themeColor="text1" w:themeTint="80"/>
          <w:sz w:val="26"/>
          <w:szCs w:val="27"/>
        </w:rPr>
        <w:t>e</w:t>
      </w:r>
      <w:r w:rsidRPr="00C14C6C">
        <w:rPr>
          <w:rFonts w:ascii="Calibri" w:hAnsi="Calibri"/>
          <w:bCs/>
          <w:color w:val="7F7F7F" w:themeColor="text1" w:themeTint="80"/>
          <w:sz w:val="26"/>
          <w:szCs w:val="27"/>
        </w:rPr>
        <w:t xml:space="preserve">l cual obra </w:t>
      </w:r>
      <w:r w:rsidRPr="00C14C6C">
        <w:rPr>
          <w:rFonts w:ascii="Calibri" w:hAnsi="Calibri"/>
          <w:color w:val="7F7F7F" w:themeColor="text1" w:themeTint="80"/>
          <w:sz w:val="26"/>
          <w:szCs w:val="27"/>
        </w:rPr>
        <w:t>en</w:t>
      </w:r>
      <w:r>
        <w:rPr>
          <w:rFonts w:ascii="Calibri" w:hAnsi="Calibri"/>
          <w:color w:val="7F7F7F" w:themeColor="text1" w:themeTint="80"/>
          <w:sz w:val="26"/>
          <w:szCs w:val="27"/>
        </w:rPr>
        <w:t xml:space="preserve"> el secreto de este Juzgado, (</w:t>
      </w:r>
      <w:r w:rsidRPr="00C14C6C">
        <w:rPr>
          <w:rFonts w:ascii="Calibri" w:hAnsi="Calibri"/>
          <w:color w:val="7F7F7F" w:themeColor="text1" w:themeTint="80"/>
          <w:sz w:val="26"/>
          <w:szCs w:val="27"/>
        </w:rPr>
        <w:t xml:space="preserve">visible en autos, en copia certificada a foja </w:t>
      </w:r>
      <w:r>
        <w:rPr>
          <w:rFonts w:ascii="Calibri" w:hAnsi="Calibri"/>
          <w:color w:val="7F7F7F" w:themeColor="text1" w:themeTint="80"/>
          <w:sz w:val="26"/>
          <w:szCs w:val="27"/>
        </w:rPr>
        <w:t>5 cinco del expediente respectivo</w:t>
      </w:r>
      <w:r w:rsidRPr="00C14C6C">
        <w:rPr>
          <w:rFonts w:ascii="Calibri" w:hAnsi="Calibri"/>
          <w:color w:val="7F7F7F" w:themeColor="text1" w:themeTint="80"/>
          <w:sz w:val="26"/>
          <w:szCs w:val="27"/>
        </w:rPr>
        <w:t xml:space="preserve">). . . </w:t>
      </w:r>
    </w:p>
    <w:p w:rsidR="00112CDC" w:rsidRPr="00C14C6C" w:rsidRDefault="00112CDC" w:rsidP="00112CDC">
      <w:pPr>
        <w:ind w:firstLine="708"/>
        <w:jc w:val="both"/>
        <w:rPr>
          <w:rFonts w:ascii="Calibri" w:hAnsi="Calibri"/>
          <w:bCs/>
          <w:color w:val="7F7F7F" w:themeColor="text1" w:themeTint="80"/>
          <w:sz w:val="26"/>
          <w:szCs w:val="27"/>
        </w:rPr>
      </w:pPr>
    </w:p>
    <w:p w:rsidR="00112CDC" w:rsidRPr="008424AA" w:rsidRDefault="00112CDC" w:rsidP="00112CDC">
      <w:pPr>
        <w:ind w:firstLine="708"/>
        <w:jc w:val="both"/>
        <w:rPr>
          <w:rFonts w:ascii="Calibri" w:hAnsi="Calibri"/>
          <w:color w:val="7F7F7F" w:themeColor="text1" w:themeTint="80"/>
          <w:sz w:val="26"/>
          <w:szCs w:val="27"/>
        </w:rPr>
      </w:pPr>
      <w:r w:rsidRPr="00C14C6C">
        <w:rPr>
          <w:rFonts w:ascii="Calibri" w:hAnsi="Calibri"/>
          <w:color w:val="7F7F7F" w:themeColor="text1" w:themeTint="80"/>
          <w:sz w:val="26"/>
          <w:szCs w:val="27"/>
        </w:rPr>
        <w:t xml:space="preserve">Documento que merece pleno valor probatorio, </w:t>
      </w:r>
      <w:r w:rsidRPr="00C14C6C">
        <w:rPr>
          <w:rFonts w:ascii="Calibri" w:hAnsi="Calibri" w:cs="Arial"/>
          <w:color w:val="7F7F7F" w:themeColor="text1" w:themeTint="80"/>
          <w:sz w:val="26"/>
          <w:szCs w:val="27"/>
        </w:rPr>
        <w:t xml:space="preserve">conforme a lo dispuesto en los artículos </w:t>
      </w:r>
      <w:r w:rsidRPr="00C14C6C">
        <w:rPr>
          <w:rFonts w:ascii="Calibri" w:hAnsi="Calibri"/>
          <w:color w:val="7F7F7F" w:themeColor="text1" w:themeTint="80"/>
          <w:sz w:val="26"/>
          <w:szCs w:val="27"/>
        </w:rPr>
        <w:t>78, 117, 118, 121 y 123 del Código de Procedimiento y Justicia Administrativa para el Estado y los Municipios de Guana</w:t>
      </w:r>
      <w:r>
        <w:rPr>
          <w:rFonts w:ascii="Calibri" w:hAnsi="Calibri"/>
          <w:color w:val="7F7F7F" w:themeColor="text1" w:themeTint="80"/>
          <w:sz w:val="26"/>
          <w:szCs w:val="27"/>
        </w:rPr>
        <w:t xml:space="preserve">juato; </w:t>
      </w:r>
      <w:r w:rsidRPr="008424AA">
        <w:rPr>
          <w:rFonts w:ascii="Calibri" w:hAnsi="Calibri"/>
          <w:color w:val="7F7F7F" w:themeColor="text1" w:themeTint="80"/>
          <w:sz w:val="26"/>
          <w:szCs w:val="27"/>
        </w:rPr>
        <w:t>al tratarse de un documento público, cuya existencia es reconocida por el Director de Ejecución de la Tesorería  Municipal, al contestar la demanda, concretamente al referirse a los hechos</w:t>
      </w:r>
      <w:r w:rsidRPr="008424AA">
        <w:rPr>
          <w:rFonts w:ascii="Calibri" w:hAnsi="Calibri"/>
          <w:color w:val="7F7F7F" w:themeColor="text1" w:themeTint="80"/>
          <w:sz w:val="26"/>
          <w:szCs w:val="26"/>
        </w:rPr>
        <w:t xml:space="preserve">. . . . . . . . . . . . . . . . . . . . . . . </w:t>
      </w:r>
      <w:r>
        <w:rPr>
          <w:rFonts w:ascii="Calibri" w:hAnsi="Calibri"/>
          <w:color w:val="7F7F7F" w:themeColor="text1" w:themeTint="80"/>
          <w:sz w:val="26"/>
          <w:szCs w:val="26"/>
        </w:rPr>
        <w:t xml:space="preserve">. . . . . . . . . . . . . . . . . . . . . . . . . . . . . . . . . . . . . . . . </w:t>
      </w:r>
    </w:p>
    <w:p w:rsidR="00112CDC" w:rsidRPr="00C14C6C" w:rsidRDefault="00112CDC" w:rsidP="00112CDC">
      <w:pPr>
        <w:jc w:val="both"/>
        <w:rPr>
          <w:rFonts w:ascii="Calibri" w:hAnsi="Calibri" w:cs="Arial"/>
          <w:b/>
          <w:bCs/>
          <w:color w:val="7F7F7F" w:themeColor="text1" w:themeTint="80"/>
          <w:sz w:val="22"/>
          <w:szCs w:val="27"/>
        </w:rPr>
      </w:pPr>
    </w:p>
    <w:p w:rsidR="00112CDC" w:rsidRPr="00C14C6C" w:rsidRDefault="00112CDC" w:rsidP="00112CDC">
      <w:pPr>
        <w:ind w:firstLine="708"/>
        <w:jc w:val="both"/>
        <w:rPr>
          <w:rFonts w:ascii="Calibri" w:hAnsi="Calibri"/>
          <w:bCs/>
          <w:iCs/>
          <w:color w:val="7F7F7F" w:themeColor="text1" w:themeTint="80"/>
          <w:sz w:val="26"/>
          <w:szCs w:val="26"/>
        </w:rPr>
      </w:pPr>
      <w:proofErr w:type="gramStart"/>
      <w:r w:rsidRPr="00C14C6C">
        <w:rPr>
          <w:rFonts w:ascii="Calibri" w:hAnsi="Calibri"/>
          <w:b/>
          <w:bCs/>
          <w:i/>
          <w:iCs/>
          <w:color w:val="7F7F7F" w:themeColor="text1" w:themeTint="80"/>
          <w:sz w:val="26"/>
          <w:szCs w:val="27"/>
        </w:rPr>
        <w:t>CUARTO.-</w:t>
      </w:r>
      <w:proofErr w:type="gramEnd"/>
      <w:r w:rsidRPr="00C14C6C">
        <w:rPr>
          <w:rFonts w:ascii="Calibri" w:hAnsi="Calibri"/>
          <w:b/>
          <w:bCs/>
          <w:i/>
          <w:iCs/>
          <w:color w:val="7F7F7F" w:themeColor="text1" w:themeTint="80"/>
          <w:sz w:val="26"/>
          <w:szCs w:val="27"/>
        </w:rPr>
        <w:t xml:space="preserve"> </w:t>
      </w:r>
      <w:r w:rsidRPr="00C14C6C">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12CDC" w:rsidRPr="00C14C6C" w:rsidRDefault="00112CDC" w:rsidP="00112CDC">
      <w:pPr>
        <w:ind w:firstLine="708"/>
        <w:jc w:val="both"/>
        <w:rPr>
          <w:rFonts w:ascii="Calibri" w:hAnsi="Calibri"/>
          <w:bCs/>
          <w:iCs/>
          <w:color w:val="7F7F7F" w:themeColor="text1" w:themeTint="80"/>
          <w:sz w:val="26"/>
          <w:szCs w:val="26"/>
        </w:rPr>
      </w:pPr>
    </w:p>
    <w:p w:rsidR="00112CDC" w:rsidRPr="00C14C6C" w:rsidRDefault="00112CDC" w:rsidP="00112CDC">
      <w:pPr>
        <w:ind w:firstLine="708"/>
        <w:jc w:val="both"/>
        <w:rPr>
          <w:rFonts w:ascii="Calibri" w:hAnsi="Calibri"/>
          <w:color w:val="7F7F7F" w:themeColor="text1" w:themeTint="80"/>
          <w:sz w:val="26"/>
        </w:rPr>
      </w:pPr>
      <w:r w:rsidRPr="00C14C6C">
        <w:rPr>
          <w:rFonts w:ascii="Calibri" w:hAnsi="Calibri"/>
          <w:color w:val="7F7F7F" w:themeColor="text1" w:themeTint="80"/>
          <w:sz w:val="26"/>
        </w:rPr>
        <w:t>En la especie, en la presente causa administrativa, l</w:t>
      </w:r>
      <w:r>
        <w:rPr>
          <w:rFonts w:ascii="Calibri" w:hAnsi="Calibri"/>
          <w:color w:val="7F7F7F" w:themeColor="text1" w:themeTint="80"/>
          <w:sz w:val="26"/>
        </w:rPr>
        <w:t>as</w:t>
      </w:r>
      <w:r w:rsidRPr="00C14C6C">
        <w:rPr>
          <w:rFonts w:ascii="Calibri" w:hAnsi="Calibri"/>
          <w:color w:val="7F7F7F" w:themeColor="text1" w:themeTint="80"/>
          <w:sz w:val="26"/>
        </w:rPr>
        <w:t xml:space="preserve"> </w:t>
      </w:r>
      <w:r>
        <w:rPr>
          <w:rFonts w:ascii="Calibri" w:hAnsi="Calibri"/>
          <w:color w:val="7F7F7F" w:themeColor="text1" w:themeTint="80"/>
          <w:sz w:val="26"/>
        </w:rPr>
        <w:t xml:space="preserve">autoridades demandadas </w:t>
      </w:r>
      <w:r w:rsidRPr="00C14C6C">
        <w:rPr>
          <w:rFonts w:ascii="Calibri" w:hAnsi="Calibri"/>
          <w:color w:val="7F7F7F" w:themeColor="text1" w:themeTint="80"/>
          <w:sz w:val="26"/>
        </w:rPr>
        <w:t xml:space="preserve">invocaron </w:t>
      </w:r>
      <w:r>
        <w:rPr>
          <w:rFonts w:ascii="Calibri" w:hAnsi="Calibri"/>
          <w:color w:val="7F7F7F" w:themeColor="text1" w:themeTint="80"/>
          <w:sz w:val="26"/>
        </w:rPr>
        <w:t xml:space="preserve">en el capítulo de excepciones y defensas, </w:t>
      </w:r>
      <w:r w:rsidRPr="00C14C6C">
        <w:rPr>
          <w:rFonts w:ascii="Calibri" w:hAnsi="Calibri"/>
          <w:color w:val="7F7F7F" w:themeColor="text1" w:themeTint="80"/>
          <w:sz w:val="26"/>
        </w:rPr>
        <w:t>la causal de improcedencia prevista en la fr</w:t>
      </w:r>
      <w:r>
        <w:rPr>
          <w:rFonts w:ascii="Calibri" w:hAnsi="Calibri"/>
          <w:color w:val="7F7F7F" w:themeColor="text1" w:themeTint="80"/>
          <w:sz w:val="26"/>
        </w:rPr>
        <w:t>acción IV del artículo 261 del Código de Procedimiento y Justicia A</w:t>
      </w:r>
      <w:r w:rsidRPr="00C14C6C">
        <w:rPr>
          <w:rFonts w:ascii="Calibri" w:hAnsi="Calibri"/>
          <w:color w:val="7F7F7F" w:themeColor="text1" w:themeTint="80"/>
          <w:sz w:val="26"/>
        </w:rPr>
        <w:t>dministrativa mencionado; relativa al consentimiento tácito de</w:t>
      </w:r>
      <w:r>
        <w:rPr>
          <w:rFonts w:ascii="Calibri" w:hAnsi="Calibri"/>
          <w:color w:val="7F7F7F" w:themeColor="text1" w:themeTint="80"/>
          <w:sz w:val="26"/>
        </w:rPr>
        <w:t>l valor fiscal determinado mediante avalúo de fecha 18 dieciocho de julio del año 2013 dos mil trece</w:t>
      </w:r>
      <w:r w:rsidRPr="00C14C6C">
        <w:rPr>
          <w:rFonts w:ascii="Calibri" w:hAnsi="Calibri"/>
          <w:color w:val="7F7F7F" w:themeColor="text1" w:themeTint="80"/>
          <w:sz w:val="26"/>
        </w:rPr>
        <w:t xml:space="preserve">. . . . . . . . . . . . . . . . . . . . . . . </w:t>
      </w:r>
      <w:r>
        <w:rPr>
          <w:rFonts w:ascii="Calibri" w:hAnsi="Calibri"/>
          <w:color w:val="7F7F7F" w:themeColor="text1" w:themeTint="80"/>
          <w:sz w:val="26"/>
        </w:rPr>
        <w:t xml:space="preserve">. . . . . . . . . . . . . . . . </w:t>
      </w:r>
      <w:proofErr w:type="gramStart"/>
      <w:r>
        <w:rPr>
          <w:rFonts w:ascii="Calibri" w:hAnsi="Calibri"/>
          <w:color w:val="7F7F7F" w:themeColor="text1" w:themeTint="80"/>
          <w:sz w:val="26"/>
        </w:rPr>
        <w:t>. . . .</w:t>
      </w:r>
      <w:proofErr w:type="gramEnd"/>
      <w:r>
        <w:rPr>
          <w:rFonts w:ascii="Calibri" w:hAnsi="Calibri"/>
          <w:color w:val="7F7F7F" w:themeColor="text1" w:themeTint="80"/>
          <w:sz w:val="26"/>
        </w:rPr>
        <w:t xml:space="preserve"> </w:t>
      </w:r>
    </w:p>
    <w:p w:rsidR="00112CDC" w:rsidRPr="00C14C6C" w:rsidRDefault="00112CDC" w:rsidP="00112CDC">
      <w:pPr>
        <w:ind w:firstLine="708"/>
        <w:jc w:val="both"/>
        <w:rPr>
          <w:rFonts w:ascii="Calibri" w:hAnsi="Calibri"/>
          <w:color w:val="7F7F7F" w:themeColor="text1" w:themeTint="80"/>
          <w:sz w:val="26"/>
        </w:rPr>
      </w:pPr>
    </w:p>
    <w:p w:rsidR="00112CDC" w:rsidRDefault="00112CDC" w:rsidP="00112CDC">
      <w:pPr>
        <w:ind w:firstLine="708"/>
        <w:jc w:val="both"/>
        <w:rPr>
          <w:rFonts w:ascii="Calibri" w:hAnsi="Calibri"/>
          <w:color w:val="7F7F7F" w:themeColor="text1" w:themeTint="80"/>
          <w:sz w:val="26"/>
        </w:rPr>
      </w:pPr>
      <w:r w:rsidRPr="00C14C6C">
        <w:rPr>
          <w:rFonts w:ascii="Calibri" w:hAnsi="Calibri"/>
          <w:color w:val="7F7F7F" w:themeColor="text1" w:themeTint="80"/>
          <w:sz w:val="26"/>
        </w:rPr>
        <w:t xml:space="preserve">Así las cosas, </w:t>
      </w:r>
      <w:r w:rsidRPr="00C14C6C">
        <w:rPr>
          <w:rFonts w:ascii="Calibri" w:hAnsi="Calibri"/>
          <w:b/>
          <w:color w:val="7F7F7F" w:themeColor="text1" w:themeTint="80"/>
          <w:sz w:val="26"/>
        </w:rPr>
        <w:t>no se actualiza</w:t>
      </w:r>
      <w:r w:rsidRPr="00C14C6C">
        <w:rPr>
          <w:rFonts w:ascii="Calibri" w:hAnsi="Calibri"/>
          <w:color w:val="7F7F7F" w:themeColor="text1" w:themeTint="80"/>
          <w:sz w:val="26"/>
        </w:rPr>
        <w:t xml:space="preserve"> la causal planteada por las demandadas; pues en primer lugar, </w:t>
      </w:r>
      <w:r>
        <w:rPr>
          <w:rFonts w:ascii="Calibri" w:hAnsi="Calibri"/>
          <w:color w:val="7F7F7F" w:themeColor="text1" w:themeTint="80"/>
          <w:sz w:val="26"/>
        </w:rPr>
        <w:t xml:space="preserve">no se acreditó la existencia del avalúo de fecha 18 dieciocho de julio del año 2013 dos mil trece, lo que aparentemente se trata de una confusión de las demandadas; pues lo que se emitió en esa fecha fue el requerimiento de pago impugnado, y no ningún avalúo; por lo que no se presenta, en el asunto en concreto, la causal señalada. . . . . . . . . . . . . . . . . . . . . . . . . . . . . . . . . . . . . . . . . . . . . </w:t>
      </w:r>
    </w:p>
    <w:p w:rsidR="00112CDC" w:rsidRDefault="00112CDC" w:rsidP="00112CDC">
      <w:pPr>
        <w:ind w:firstLine="708"/>
        <w:jc w:val="both"/>
        <w:rPr>
          <w:rFonts w:ascii="Calibri" w:hAnsi="Calibri"/>
          <w:color w:val="7F7F7F" w:themeColor="text1" w:themeTint="80"/>
          <w:sz w:val="26"/>
        </w:rPr>
      </w:pPr>
    </w:p>
    <w:p w:rsidR="00112CDC" w:rsidRDefault="00112CDC" w:rsidP="00112CDC">
      <w:pPr>
        <w:ind w:firstLine="708"/>
        <w:jc w:val="both"/>
        <w:rPr>
          <w:rFonts w:ascii="Calibri" w:hAnsi="Calibri"/>
          <w:color w:val="7F7F7F" w:themeColor="text1" w:themeTint="80"/>
          <w:sz w:val="26"/>
        </w:rPr>
      </w:pPr>
      <w:r>
        <w:rPr>
          <w:rFonts w:ascii="Calibri" w:hAnsi="Calibri"/>
          <w:color w:val="7F7F7F" w:themeColor="text1" w:themeTint="80"/>
          <w:sz w:val="26"/>
        </w:rPr>
        <w:t xml:space="preserve">Por otra parte, </w:t>
      </w:r>
      <w:r w:rsidRPr="003A4572">
        <w:rPr>
          <w:rFonts w:ascii="Calibri" w:hAnsi="Calibri"/>
          <w:b/>
          <w:color w:val="7F7F7F" w:themeColor="text1" w:themeTint="80"/>
          <w:sz w:val="26"/>
        </w:rPr>
        <w:t>de manera oficiosa</w:t>
      </w:r>
      <w:r>
        <w:rPr>
          <w:rFonts w:ascii="Calibri" w:hAnsi="Calibri"/>
          <w:color w:val="7F7F7F" w:themeColor="text1" w:themeTint="80"/>
          <w:sz w:val="26"/>
        </w:rPr>
        <w:t xml:space="preserve">, respecto del acto impugnado consistente en el procedimiento de valuación por el que afirmó el actor, se modificó el valor fiscal del inmueble de su propiedad; </w:t>
      </w:r>
      <w:r w:rsidRPr="00C14C6C">
        <w:rPr>
          <w:rFonts w:ascii="Calibri" w:hAnsi="Calibri"/>
          <w:color w:val="7F7F7F" w:themeColor="text1" w:themeTint="80"/>
          <w:sz w:val="26"/>
        </w:rPr>
        <w:t xml:space="preserve">este Juzgador advierte </w:t>
      </w:r>
      <w:r>
        <w:rPr>
          <w:rFonts w:ascii="Calibri" w:hAnsi="Calibri"/>
          <w:color w:val="7F7F7F" w:themeColor="text1" w:themeTint="80"/>
          <w:sz w:val="26"/>
        </w:rPr>
        <w:t xml:space="preserve">que </w:t>
      </w:r>
      <w:r w:rsidRPr="003A4572">
        <w:rPr>
          <w:rFonts w:ascii="Calibri" w:hAnsi="Calibri"/>
          <w:b/>
          <w:color w:val="7F7F7F" w:themeColor="text1" w:themeTint="80"/>
          <w:sz w:val="26"/>
        </w:rPr>
        <w:t>sí se actualiza</w:t>
      </w:r>
      <w:r w:rsidRPr="00C14C6C">
        <w:rPr>
          <w:rFonts w:ascii="Calibri" w:hAnsi="Calibri"/>
          <w:color w:val="7F7F7F" w:themeColor="text1" w:themeTint="80"/>
          <w:sz w:val="26"/>
        </w:rPr>
        <w:t xml:space="preserve"> </w:t>
      </w:r>
      <w:r>
        <w:rPr>
          <w:rFonts w:ascii="Calibri" w:hAnsi="Calibri"/>
          <w:color w:val="7F7F7F" w:themeColor="text1" w:themeTint="80"/>
          <w:sz w:val="26"/>
        </w:rPr>
        <w:t xml:space="preserve">la causal de improcedencia prevista en la fracción VI del artículo 261 del Código de Procedimiento y Justicia Administrativa para el Estado y los Municipios de Guanajuato; toda vez que ese acto es inexistente. . . . . . . . . . . . . . . </w:t>
      </w:r>
    </w:p>
    <w:p w:rsidR="00112CDC" w:rsidRDefault="00112CDC" w:rsidP="00112CDC">
      <w:pPr>
        <w:jc w:val="both"/>
        <w:rPr>
          <w:rFonts w:ascii="Calibri" w:hAnsi="Calibri"/>
          <w:color w:val="7F7F7F" w:themeColor="text1" w:themeTint="80"/>
          <w:sz w:val="26"/>
        </w:rPr>
      </w:pPr>
    </w:p>
    <w:p w:rsidR="00112CDC" w:rsidRDefault="00112CDC" w:rsidP="00112CDC">
      <w:pPr>
        <w:ind w:firstLine="708"/>
        <w:jc w:val="both"/>
        <w:rPr>
          <w:rFonts w:ascii="Calibri" w:hAnsi="Calibri"/>
          <w:bCs/>
          <w:color w:val="7F7F7F" w:themeColor="text1" w:themeTint="80"/>
          <w:sz w:val="26"/>
          <w:szCs w:val="27"/>
        </w:rPr>
      </w:pPr>
      <w:r>
        <w:rPr>
          <w:rFonts w:ascii="Calibri" w:hAnsi="Calibri"/>
          <w:color w:val="7F7F7F" w:themeColor="text1" w:themeTint="80"/>
          <w:sz w:val="26"/>
        </w:rPr>
        <w:t xml:space="preserve">En efecto, se actualiza la causal referida, </w:t>
      </w:r>
      <w:r>
        <w:rPr>
          <w:rFonts w:ascii="Calibri" w:hAnsi="Calibri"/>
          <w:bCs/>
          <w:color w:val="7F7F7F" w:themeColor="text1" w:themeTint="80"/>
          <w:sz w:val="26"/>
          <w:szCs w:val="27"/>
        </w:rPr>
        <w:t>toda vez que la parte actora no demostró fehacientemente la existencia del procedimiento de valuación, y que el valor del inmueble de su propiedad haya sido modificado derivado de ese procedimiento; pues no presentó documento alguno en ese sentido, donde constara el valor anterior, o cuando fue éste modificado, para presumir de esa manera, que la modificación en el valor se haya derivado de la realización de un avalúo, lo que no acreditó la parte actora; lo que tampoco fue confirmado o corroborado por las demandadas en sus escritos de contestación; de ahí que no se demuestre la existencia del procedimiento administrativo de valuación del que se duele; lo que le correspondía probar de conformidad con lo establecido  en el artículo 51, del Código de Procedimiento y Justicia Administrativa</w:t>
      </w:r>
      <w:r w:rsidRPr="00263DC3">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para el Estado y los Municipios de Guanajuato, aplicado </w:t>
      </w:r>
      <w:r w:rsidRPr="00263DC3">
        <w:rPr>
          <w:rFonts w:ascii="Calibri" w:hAnsi="Calibri"/>
          <w:bCs/>
          <w:i/>
          <w:color w:val="7F7F7F" w:themeColor="text1" w:themeTint="80"/>
          <w:sz w:val="26"/>
          <w:szCs w:val="27"/>
        </w:rPr>
        <w:t>“a contrario sensu”</w:t>
      </w:r>
      <w:r>
        <w:rPr>
          <w:rFonts w:ascii="Calibri" w:hAnsi="Calibri"/>
          <w:bCs/>
          <w:i/>
          <w:color w:val="7F7F7F" w:themeColor="text1" w:themeTint="80"/>
          <w:sz w:val="26"/>
          <w:szCs w:val="27"/>
        </w:rPr>
        <w:t xml:space="preserve">. . . . . . . . . . . </w:t>
      </w:r>
    </w:p>
    <w:p w:rsidR="00112CDC" w:rsidRDefault="00112CDC" w:rsidP="00112CDC">
      <w:pPr>
        <w:ind w:firstLine="708"/>
        <w:jc w:val="both"/>
        <w:rPr>
          <w:rFonts w:ascii="Calibri" w:hAnsi="Calibri"/>
          <w:bCs/>
          <w:color w:val="7F7F7F" w:themeColor="text1" w:themeTint="80"/>
          <w:sz w:val="26"/>
          <w:szCs w:val="27"/>
        </w:rPr>
      </w:pPr>
    </w:p>
    <w:p w:rsidR="00112CDC" w:rsidRPr="00C61A58" w:rsidRDefault="00112CDC" w:rsidP="00112CDC">
      <w:pPr>
        <w:ind w:firstLine="708"/>
        <w:jc w:val="both"/>
        <w:rPr>
          <w:rFonts w:ascii="Calibri" w:hAnsi="Calibri"/>
          <w:bCs/>
          <w:color w:val="7F7F7F" w:themeColor="text1" w:themeTint="80"/>
          <w:sz w:val="26"/>
          <w:szCs w:val="27"/>
        </w:rPr>
      </w:pPr>
      <w:r>
        <w:rPr>
          <w:rFonts w:ascii="Calibri" w:hAnsi="Calibri"/>
          <w:bCs/>
          <w:color w:val="7F7F7F" w:themeColor="text1" w:themeTint="80"/>
          <w:sz w:val="26"/>
          <w:szCs w:val="27"/>
        </w:rPr>
        <w:t xml:space="preserve">Así como tampoco se desprende intervención alguna del Tesorero Municipal ni de la Directora de Impuestos Inmobiliarios, también demandados, en la emisión del requerimiento de pago impugnado; por lo que al actualizarse la causal de improcedencia prevista en la fracción VI del artículo 261 del Código de Procedimiento y Justicia Administrativa para el Estado y los Municipios de Guanajuato, debe </w:t>
      </w:r>
      <w:r w:rsidRPr="00F21DFD">
        <w:rPr>
          <w:rFonts w:ascii="Calibri" w:hAnsi="Calibri"/>
          <w:b/>
          <w:bCs/>
          <w:color w:val="7F7F7F" w:themeColor="text1" w:themeTint="80"/>
          <w:sz w:val="26"/>
          <w:szCs w:val="27"/>
        </w:rPr>
        <w:t>sobreseerse</w:t>
      </w:r>
      <w:r>
        <w:rPr>
          <w:rFonts w:ascii="Calibri" w:hAnsi="Calibri"/>
          <w:bCs/>
          <w:color w:val="7F7F7F" w:themeColor="text1" w:themeTint="80"/>
          <w:sz w:val="26"/>
          <w:szCs w:val="27"/>
        </w:rPr>
        <w:t xml:space="preserve"> el procedimiento en contra de los señalados actos impugnados y  respecto de tales autoridades demandadas; lo anterior de conformidad con lo señalado en el artículo 262, fracción II, del citado código aplicable en la materia. . . . . . . . . . . . . . . . . . . . . . . . . . . . . . . . . . . . . . . . . . . . . . . . . . </w:t>
      </w:r>
    </w:p>
    <w:p w:rsidR="00112CDC" w:rsidRDefault="00112CDC" w:rsidP="00112CDC">
      <w:pPr>
        <w:ind w:firstLine="708"/>
        <w:jc w:val="both"/>
        <w:rPr>
          <w:rFonts w:ascii="Calibri" w:hAnsi="Calibri"/>
          <w:color w:val="7F7F7F" w:themeColor="text1" w:themeTint="80"/>
          <w:sz w:val="26"/>
        </w:rPr>
      </w:pPr>
    </w:p>
    <w:p w:rsidR="00112CDC" w:rsidRPr="00C14C6C" w:rsidRDefault="00112CDC" w:rsidP="00112CDC">
      <w:pPr>
        <w:ind w:firstLine="708"/>
        <w:jc w:val="both"/>
        <w:rPr>
          <w:rFonts w:ascii="Calibri" w:hAnsi="Calibri"/>
          <w:color w:val="7F7F7F" w:themeColor="text1" w:themeTint="80"/>
          <w:sz w:val="26"/>
        </w:rPr>
      </w:pPr>
      <w:r>
        <w:rPr>
          <w:rFonts w:ascii="Calibri" w:hAnsi="Calibri"/>
          <w:color w:val="7F7F7F" w:themeColor="text1" w:themeTint="80"/>
          <w:sz w:val="26"/>
          <w:szCs w:val="27"/>
        </w:rPr>
        <w:t xml:space="preserve">Así las cosas al no actualizarse ninguna otra causal de improcedencia o sobreseimiento, </w:t>
      </w:r>
      <w:r w:rsidRPr="00C14C6C">
        <w:rPr>
          <w:rFonts w:ascii="Calibri" w:hAnsi="Calibri" w:cs="Calibri"/>
          <w:bCs/>
          <w:iCs/>
          <w:color w:val="7F7F7F" w:themeColor="text1" w:themeTint="80"/>
          <w:sz w:val="26"/>
          <w:szCs w:val="26"/>
        </w:rPr>
        <w:t>en consecuencia es procedente el presente proceso</w:t>
      </w:r>
      <w:r>
        <w:rPr>
          <w:rFonts w:ascii="Calibri" w:hAnsi="Calibri" w:cs="Calibri"/>
          <w:bCs/>
          <w:iCs/>
          <w:color w:val="7F7F7F" w:themeColor="text1" w:themeTint="80"/>
          <w:sz w:val="26"/>
          <w:szCs w:val="26"/>
        </w:rPr>
        <w:t xml:space="preserve"> únicamente en contra del requerimiento de pago impugnado</w:t>
      </w:r>
      <w:r w:rsidRPr="00C14C6C">
        <w:rPr>
          <w:rFonts w:ascii="Calibri" w:hAnsi="Calibri" w:cs="Calibri"/>
          <w:bCs/>
          <w:iCs/>
          <w:color w:val="7F7F7F" w:themeColor="text1" w:themeTint="80"/>
          <w:sz w:val="26"/>
          <w:szCs w:val="26"/>
        </w:rPr>
        <w:t>. . . . . . . . . . . . . . . . . . . . . .</w:t>
      </w:r>
      <w:r>
        <w:rPr>
          <w:rFonts w:ascii="Calibri" w:hAnsi="Calibri" w:cs="Calibri"/>
          <w:bCs/>
          <w:iCs/>
          <w:color w:val="7F7F7F" w:themeColor="text1" w:themeTint="80"/>
          <w:sz w:val="26"/>
          <w:szCs w:val="26"/>
        </w:rPr>
        <w:t xml:space="preserve"> . . </w:t>
      </w:r>
      <w:proofErr w:type="gramStart"/>
      <w:r>
        <w:rPr>
          <w:rFonts w:ascii="Calibri" w:hAnsi="Calibri" w:cs="Calibri"/>
          <w:bCs/>
          <w:iCs/>
          <w:color w:val="7F7F7F" w:themeColor="text1" w:themeTint="80"/>
          <w:sz w:val="26"/>
          <w:szCs w:val="26"/>
        </w:rPr>
        <w:t>. . . .</w:t>
      </w:r>
      <w:proofErr w:type="gramEnd"/>
      <w:r>
        <w:rPr>
          <w:rFonts w:ascii="Calibri" w:hAnsi="Calibri" w:cs="Calibri"/>
          <w:bCs/>
          <w:iCs/>
          <w:color w:val="7F7F7F" w:themeColor="text1" w:themeTint="80"/>
          <w:sz w:val="26"/>
          <w:szCs w:val="26"/>
        </w:rPr>
        <w:t xml:space="preserve"> </w:t>
      </w:r>
    </w:p>
    <w:p w:rsidR="00112CDC" w:rsidRPr="00C14C6C" w:rsidRDefault="00112CDC" w:rsidP="00112CDC">
      <w:pPr>
        <w:jc w:val="both"/>
        <w:rPr>
          <w:rFonts w:ascii="Calibri" w:hAnsi="Calibri" w:cs="Calibri"/>
          <w:color w:val="7F7F7F" w:themeColor="text1" w:themeTint="80"/>
          <w:sz w:val="26"/>
          <w:szCs w:val="26"/>
        </w:rPr>
      </w:pPr>
    </w:p>
    <w:p w:rsidR="00112CDC" w:rsidRPr="00C14C6C" w:rsidRDefault="00112CDC" w:rsidP="00112CDC">
      <w:pPr>
        <w:ind w:firstLine="708"/>
        <w:jc w:val="both"/>
        <w:rPr>
          <w:rFonts w:ascii="Calibri" w:hAnsi="Calibri" w:cs="Calibri"/>
          <w:b/>
          <w:bCs/>
          <w:i/>
          <w:iCs/>
          <w:color w:val="7F7F7F" w:themeColor="text1" w:themeTint="80"/>
          <w:sz w:val="26"/>
          <w:szCs w:val="26"/>
        </w:rPr>
      </w:pPr>
      <w:proofErr w:type="gramStart"/>
      <w:r w:rsidRPr="00C14C6C">
        <w:rPr>
          <w:rFonts w:ascii="Calibri" w:hAnsi="Calibri" w:cs="Calibri"/>
          <w:b/>
          <w:bCs/>
          <w:i/>
          <w:iCs/>
          <w:color w:val="7F7F7F" w:themeColor="text1" w:themeTint="80"/>
          <w:sz w:val="26"/>
          <w:szCs w:val="26"/>
        </w:rPr>
        <w:t>QUINTO.-</w:t>
      </w:r>
      <w:proofErr w:type="gramEnd"/>
      <w:r w:rsidRPr="00C14C6C">
        <w:rPr>
          <w:rFonts w:ascii="Calibri" w:hAnsi="Calibri" w:cs="Calibri"/>
          <w:b/>
          <w:bCs/>
          <w:i/>
          <w:iCs/>
          <w:color w:val="7F7F7F" w:themeColor="text1" w:themeTint="80"/>
          <w:sz w:val="26"/>
          <w:szCs w:val="26"/>
        </w:rPr>
        <w:t xml:space="preserve"> </w:t>
      </w:r>
      <w:r w:rsidRPr="00C14C6C">
        <w:rPr>
          <w:rFonts w:ascii="Calibri" w:hAnsi="Calibri" w:cs="Calibri"/>
          <w:bCs/>
          <w:iCs/>
          <w:color w:val="7F7F7F" w:themeColor="text1" w:themeTint="80"/>
          <w:sz w:val="26"/>
          <w:szCs w:val="26"/>
        </w:rPr>
        <w:t>Previamente al análisis del planteamiento de fondo formulado por el actor, es</w:t>
      </w:r>
      <w:r w:rsidRPr="00C14C6C">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112CDC" w:rsidRPr="00C14C6C" w:rsidRDefault="00112CDC" w:rsidP="00112CDC">
      <w:pPr>
        <w:jc w:val="both"/>
        <w:rPr>
          <w:rFonts w:ascii="Calibri" w:hAnsi="Calibri"/>
          <w:color w:val="7F7F7F" w:themeColor="text1" w:themeTint="80"/>
          <w:sz w:val="22"/>
          <w:szCs w:val="27"/>
        </w:rPr>
      </w:pPr>
    </w:p>
    <w:p w:rsidR="00112CDC" w:rsidRPr="00C14C6C" w:rsidRDefault="00112CDC" w:rsidP="00112CDC">
      <w:pPr>
        <w:pStyle w:val="Sangra2detindependiente"/>
        <w:rPr>
          <w:rFonts w:ascii="Calibri" w:hAnsi="Calibri"/>
          <w:color w:val="7F7F7F" w:themeColor="text1" w:themeTint="80"/>
          <w:sz w:val="26"/>
        </w:rPr>
      </w:pPr>
      <w:r w:rsidRPr="00C14C6C">
        <w:rPr>
          <w:rFonts w:ascii="Calibri" w:hAnsi="Calibri"/>
          <w:color w:val="7F7F7F" w:themeColor="text1" w:themeTint="80"/>
          <w:sz w:val="26"/>
        </w:rPr>
        <w:t>De lo expuesto en el escrito de demanda, así como de las constancias que integran la presente causa administrativa, se desprende lo siguiente:</w:t>
      </w:r>
      <w:r>
        <w:rPr>
          <w:rFonts w:ascii="Calibri" w:hAnsi="Calibri"/>
          <w:color w:val="7F7F7F" w:themeColor="text1" w:themeTint="80"/>
          <w:sz w:val="26"/>
        </w:rPr>
        <w:t xml:space="preserve"> </w:t>
      </w:r>
      <w:r w:rsidRPr="00C14C6C">
        <w:rPr>
          <w:rFonts w:ascii="Calibri" w:hAnsi="Calibri"/>
          <w:color w:val="7F7F7F" w:themeColor="text1" w:themeTint="80"/>
          <w:sz w:val="26"/>
        </w:rPr>
        <w:t xml:space="preserve">. . . . . . </w:t>
      </w:r>
      <w:proofErr w:type="gramStart"/>
      <w:r w:rsidRPr="00C14C6C">
        <w:rPr>
          <w:rFonts w:ascii="Calibri" w:hAnsi="Calibri"/>
          <w:color w:val="7F7F7F" w:themeColor="text1" w:themeTint="80"/>
          <w:sz w:val="26"/>
        </w:rPr>
        <w:t>. . . .</w:t>
      </w:r>
      <w:proofErr w:type="gramEnd"/>
      <w:r w:rsidRPr="00C14C6C">
        <w:rPr>
          <w:rFonts w:ascii="Calibri" w:hAnsi="Calibri"/>
          <w:color w:val="7F7F7F" w:themeColor="text1" w:themeTint="80"/>
          <w:sz w:val="26"/>
        </w:rPr>
        <w:t xml:space="preserve"> </w:t>
      </w:r>
    </w:p>
    <w:p w:rsidR="00112CDC" w:rsidRPr="00C14C6C" w:rsidRDefault="00112CDC" w:rsidP="00112CDC">
      <w:pPr>
        <w:pStyle w:val="Sangra2detindependiente"/>
        <w:rPr>
          <w:rFonts w:ascii="Calibri" w:hAnsi="Calibri"/>
          <w:color w:val="7F7F7F" w:themeColor="text1" w:themeTint="80"/>
          <w:sz w:val="26"/>
        </w:rPr>
      </w:pPr>
    </w:p>
    <w:p w:rsidR="00112CDC" w:rsidRDefault="00112CDC" w:rsidP="00112CDC">
      <w:pPr>
        <w:pStyle w:val="Sangra2detindependiente"/>
        <w:rPr>
          <w:rFonts w:ascii="Calibri" w:hAnsi="Calibri"/>
          <w:color w:val="7F7F7F" w:themeColor="text1" w:themeTint="80"/>
          <w:sz w:val="26"/>
        </w:rPr>
      </w:pPr>
    </w:p>
    <w:p w:rsidR="00112CDC" w:rsidRDefault="00112CDC" w:rsidP="00112CDC">
      <w:pPr>
        <w:pStyle w:val="Textoindependiente"/>
        <w:ind w:left="1068"/>
        <w:jc w:val="right"/>
        <w:rPr>
          <w:rFonts w:ascii="Calibri" w:hAnsi="Calibri"/>
          <w:b/>
          <w:color w:val="7F7F7F" w:themeColor="text1" w:themeTint="80"/>
          <w:sz w:val="26"/>
          <w:szCs w:val="27"/>
        </w:rPr>
      </w:pPr>
      <w:r>
        <w:rPr>
          <w:rFonts w:ascii="Calibri" w:hAnsi="Calibri"/>
          <w:b/>
          <w:color w:val="7F7F7F" w:themeColor="text1" w:themeTint="80"/>
          <w:sz w:val="26"/>
          <w:szCs w:val="27"/>
        </w:rPr>
        <w:t>Expediente número 618/2013-JN</w:t>
      </w:r>
    </w:p>
    <w:p w:rsidR="00112CDC" w:rsidRDefault="00112CDC" w:rsidP="00112CDC">
      <w:pPr>
        <w:pStyle w:val="Sangra2detindependiente"/>
        <w:rPr>
          <w:rFonts w:ascii="Calibri" w:hAnsi="Calibri"/>
          <w:color w:val="7F7F7F" w:themeColor="text1" w:themeTint="80"/>
          <w:sz w:val="26"/>
        </w:rPr>
      </w:pPr>
    </w:p>
    <w:p w:rsidR="00112CDC" w:rsidRDefault="00112CDC" w:rsidP="00112CDC">
      <w:pPr>
        <w:pStyle w:val="Sangra2detindependiente"/>
        <w:rPr>
          <w:rFonts w:ascii="Calibri" w:hAnsi="Calibri"/>
          <w:color w:val="7F7F7F" w:themeColor="text1" w:themeTint="80"/>
          <w:sz w:val="26"/>
        </w:rPr>
      </w:pPr>
      <w:r w:rsidRPr="00F21DFD">
        <w:rPr>
          <w:rFonts w:ascii="Calibri" w:hAnsi="Calibri"/>
          <w:color w:val="7F7F7F" w:themeColor="text1" w:themeTint="80"/>
          <w:sz w:val="26"/>
        </w:rPr>
        <w:t xml:space="preserve">Que con fecha </w:t>
      </w:r>
      <w:r>
        <w:rPr>
          <w:rFonts w:ascii="Calibri" w:hAnsi="Calibri"/>
          <w:color w:val="7F7F7F" w:themeColor="text1" w:themeTint="80"/>
          <w:sz w:val="26"/>
        </w:rPr>
        <w:t xml:space="preserve">18 dieciocho de julio del año 2013 dos mil trece, se emitió el </w:t>
      </w:r>
      <w:r>
        <w:rPr>
          <w:rFonts w:ascii="Calibri" w:hAnsi="Calibri"/>
          <w:bCs/>
          <w:color w:val="7F7F7F" w:themeColor="text1" w:themeTint="80"/>
          <w:sz w:val="26"/>
        </w:rPr>
        <w:t xml:space="preserve">requerimiento de pago del impuesto predial, con número PR-2013-00471907, respecto de inmueble ubicado en calle </w:t>
      </w:r>
      <w:proofErr w:type="gramStart"/>
      <w:r>
        <w:rPr>
          <w:rFonts w:ascii="Calibri" w:hAnsi="Calibri"/>
          <w:bCs/>
          <w:color w:val="7F7F7F" w:themeColor="text1" w:themeTint="80"/>
          <w:sz w:val="26"/>
        </w:rPr>
        <w:t>(....</w:t>
      </w:r>
      <w:proofErr w:type="gramEnd"/>
      <w:r>
        <w:rPr>
          <w:rFonts w:ascii="Calibri" w:hAnsi="Calibri"/>
          <w:bCs/>
          <w:color w:val="7F7F7F" w:themeColor="text1" w:themeTint="80"/>
          <w:sz w:val="26"/>
        </w:rPr>
        <w:t>.), con cuenta predial 0</w:t>
      </w:r>
      <w:r w:rsidRPr="00A03090">
        <w:rPr>
          <w:rFonts w:ascii="Calibri" w:hAnsi="Calibri"/>
          <w:bCs/>
          <w:color w:val="7F7F7F" w:themeColor="text1" w:themeTint="80"/>
          <w:sz w:val="26"/>
        </w:rPr>
        <w:t>1-L</w:t>
      </w:r>
      <w:r>
        <w:rPr>
          <w:rFonts w:ascii="Calibri" w:hAnsi="Calibri"/>
          <w:bCs/>
          <w:color w:val="7F7F7F" w:themeColor="text1" w:themeTint="80"/>
          <w:sz w:val="26"/>
        </w:rPr>
        <w:t>-000458-003 (cero-uno guion L guion cero-cero-cero-cuatro-cinco-ocho guion cero-cero-tres), por la cantidad de $2,265.49 (Dos mil doscientos sesenta y cinco pesos 49/100 Moneda Nacional). . . . . . . . . . . . . . . . . . . . . . . . . . . . . . . . . . . . .</w:t>
      </w:r>
    </w:p>
    <w:p w:rsidR="00112CDC" w:rsidRPr="00C14C6C" w:rsidRDefault="00112CDC" w:rsidP="00112CDC">
      <w:pPr>
        <w:pStyle w:val="Sangra2detindependiente"/>
        <w:rPr>
          <w:rFonts w:ascii="Calibri" w:hAnsi="Calibri"/>
          <w:color w:val="7F7F7F" w:themeColor="text1" w:themeTint="80"/>
          <w:sz w:val="26"/>
        </w:rPr>
      </w:pPr>
    </w:p>
    <w:p w:rsidR="00112CDC" w:rsidRDefault="00112CDC" w:rsidP="00112CDC">
      <w:pPr>
        <w:pStyle w:val="Sangra2detindependiente"/>
        <w:rPr>
          <w:rFonts w:ascii="Calibri" w:hAnsi="Calibri"/>
          <w:color w:val="7F7F7F" w:themeColor="text1" w:themeTint="80"/>
          <w:sz w:val="26"/>
        </w:rPr>
      </w:pPr>
      <w:r>
        <w:rPr>
          <w:rFonts w:ascii="Calibri" w:hAnsi="Calibri"/>
          <w:color w:val="7F7F7F" w:themeColor="text1" w:themeTint="80"/>
          <w:sz w:val="26"/>
        </w:rPr>
        <w:t xml:space="preserve">Lo que argumentó el actor, le fue dejado en su domicilio el día 9 nueve de agosto del año 2013 dos mil trece, y </w:t>
      </w:r>
      <w:r w:rsidRPr="00C14C6C">
        <w:rPr>
          <w:rFonts w:ascii="Calibri" w:hAnsi="Calibri"/>
          <w:color w:val="7F7F7F" w:themeColor="text1" w:themeTint="80"/>
          <w:sz w:val="26"/>
        </w:rPr>
        <w:t xml:space="preserve">que </w:t>
      </w:r>
      <w:r>
        <w:rPr>
          <w:rFonts w:ascii="Calibri" w:hAnsi="Calibri"/>
          <w:color w:val="7F7F7F" w:themeColor="text1" w:themeTint="80"/>
          <w:sz w:val="26"/>
        </w:rPr>
        <w:t xml:space="preserve">tal requerimiento de pago es ilegal, porque adolece de fundamentación y motivación y que no se entendió con su persona. . . . . . . . . . . . . . . . . . . . . . . . . . . . . . . . . . . . . . . . . . . . . . . . . . . . . . . . . </w:t>
      </w:r>
      <w:proofErr w:type="gramStart"/>
      <w:r>
        <w:rPr>
          <w:rFonts w:ascii="Calibri" w:hAnsi="Calibri"/>
          <w:color w:val="7F7F7F" w:themeColor="text1" w:themeTint="80"/>
          <w:sz w:val="26"/>
        </w:rPr>
        <w:t>. . . .</w:t>
      </w:r>
      <w:proofErr w:type="gramEnd"/>
      <w:r>
        <w:rPr>
          <w:rFonts w:ascii="Calibri" w:hAnsi="Calibri"/>
          <w:color w:val="7F7F7F" w:themeColor="text1" w:themeTint="80"/>
          <w:sz w:val="26"/>
        </w:rPr>
        <w:t xml:space="preserve"> . </w:t>
      </w:r>
    </w:p>
    <w:p w:rsidR="00112CDC" w:rsidRPr="00C14C6C" w:rsidRDefault="00112CDC" w:rsidP="00112CDC">
      <w:pPr>
        <w:pStyle w:val="Sangra2detindependiente"/>
        <w:rPr>
          <w:rFonts w:ascii="Calibri" w:hAnsi="Calibri"/>
          <w:color w:val="7F7F7F" w:themeColor="text1" w:themeTint="80"/>
          <w:sz w:val="26"/>
        </w:rPr>
      </w:pPr>
    </w:p>
    <w:p w:rsidR="00112CDC" w:rsidRPr="00C14C6C" w:rsidRDefault="00112CDC" w:rsidP="00112CDC">
      <w:pPr>
        <w:pStyle w:val="Sangra2detindependiente"/>
        <w:rPr>
          <w:rFonts w:ascii="Calibri" w:hAnsi="Calibri"/>
          <w:color w:val="7F7F7F" w:themeColor="text1" w:themeTint="80"/>
          <w:sz w:val="26"/>
        </w:rPr>
      </w:pPr>
      <w:r w:rsidRPr="00C14C6C">
        <w:rPr>
          <w:rFonts w:ascii="Calibri" w:hAnsi="Calibri"/>
          <w:color w:val="7F7F7F" w:themeColor="text1" w:themeTint="80"/>
          <w:sz w:val="26"/>
        </w:rPr>
        <w:tab/>
        <w:t xml:space="preserve">A lo expresado por el justiciable, el </w:t>
      </w:r>
      <w:r>
        <w:rPr>
          <w:rFonts w:ascii="Calibri" w:hAnsi="Calibri"/>
          <w:color w:val="7F7F7F" w:themeColor="text1" w:themeTint="80"/>
          <w:sz w:val="26"/>
        </w:rPr>
        <w:t xml:space="preserve">Director de Ejecución demandado </w:t>
      </w:r>
      <w:r w:rsidRPr="00C14C6C">
        <w:rPr>
          <w:rFonts w:ascii="Calibri" w:hAnsi="Calibri"/>
          <w:color w:val="7F7F7F" w:themeColor="text1" w:themeTint="80"/>
          <w:sz w:val="26"/>
        </w:rPr>
        <w:t xml:space="preserve">argumentó que </w:t>
      </w:r>
      <w:r>
        <w:rPr>
          <w:rFonts w:ascii="Calibri" w:hAnsi="Calibri"/>
          <w:color w:val="7F7F7F" w:themeColor="text1" w:themeTint="80"/>
          <w:sz w:val="26"/>
        </w:rPr>
        <w:t xml:space="preserve">dicho acto se emitió de conformidad al </w:t>
      </w:r>
      <w:r w:rsidRPr="00C14C6C">
        <w:rPr>
          <w:rFonts w:ascii="Calibri" w:hAnsi="Calibri"/>
          <w:color w:val="7F7F7F" w:themeColor="text1" w:themeTint="80"/>
          <w:sz w:val="26"/>
        </w:rPr>
        <w:t>procedimiento establecido en la Ley de Hacienda para los Muni</w:t>
      </w:r>
      <w:r>
        <w:rPr>
          <w:rFonts w:ascii="Calibri" w:hAnsi="Calibri"/>
          <w:color w:val="7F7F7F" w:themeColor="text1" w:themeTint="80"/>
          <w:sz w:val="26"/>
        </w:rPr>
        <w:t xml:space="preserve">cipios del Estado de Guanajuato. </w:t>
      </w:r>
    </w:p>
    <w:p w:rsidR="00112CDC" w:rsidRPr="00C14C6C" w:rsidRDefault="00112CDC" w:rsidP="00112CDC">
      <w:pPr>
        <w:pStyle w:val="Sangra2detindependiente"/>
        <w:rPr>
          <w:rFonts w:ascii="Calibri" w:hAnsi="Calibri"/>
          <w:color w:val="7F7F7F" w:themeColor="text1" w:themeTint="80"/>
          <w:sz w:val="26"/>
        </w:rPr>
      </w:pPr>
    </w:p>
    <w:p w:rsidR="00112CDC" w:rsidRPr="00C14C6C" w:rsidRDefault="00112CDC" w:rsidP="00112CDC">
      <w:pPr>
        <w:pStyle w:val="Sangra2detindependiente"/>
        <w:rPr>
          <w:rFonts w:ascii="Calibri" w:hAnsi="Calibri"/>
          <w:color w:val="7F7F7F" w:themeColor="text1" w:themeTint="80"/>
          <w:sz w:val="26"/>
        </w:rPr>
      </w:pPr>
      <w:r w:rsidRPr="00C14C6C">
        <w:rPr>
          <w:rFonts w:ascii="Calibri" w:hAnsi="Calibri" w:cs="Calibri"/>
          <w:color w:val="7F7F7F" w:themeColor="text1" w:themeTint="80"/>
          <w:sz w:val="26"/>
          <w:szCs w:val="26"/>
        </w:rPr>
        <w:t xml:space="preserve">Así las cosas, la </w:t>
      </w:r>
      <w:r w:rsidRPr="005D728C">
        <w:rPr>
          <w:rFonts w:ascii="Calibri" w:hAnsi="Calibri" w:cs="Calibri"/>
          <w:i/>
          <w:color w:val="7F7F7F" w:themeColor="text1" w:themeTint="80"/>
          <w:sz w:val="26"/>
          <w:szCs w:val="26"/>
        </w:rPr>
        <w:t>“</w:t>
      </w:r>
      <w:proofErr w:type="spellStart"/>
      <w:r w:rsidRPr="005D728C">
        <w:rPr>
          <w:rFonts w:ascii="Calibri" w:hAnsi="Calibri" w:cs="Calibri"/>
          <w:i/>
          <w:color w:val="7F7F7F" w:themeColor="text1" w:themeTint="80"/>
          <w:sz w:val="26"/>
          <w:szCs w:val="26"/>
        </w:rPr>
        <w:t>litis</w:t>
      </w:r>
      <w:proofErr w:type="spellEnd"/>
      <w:r w:rsidRPr="005D728C">
        <w:rPr>
          <w:rFonts w:ascii="Calibri" w:hAnsi="Calibri" w:cs="Calibri"/>
          <w:i/>
          <w:color w:val="7F7F7F" w:themeColor="text1" w:themeTint="80"/>
          <w:sz w:val="26"/>
          <w:szCs w:val="26"/>
        </w:rPr>
        <w:t>”</w:t>
      </w:r>
      <w:r w:rsidRPr="00C14C6C">
        <w:rPr>
          <w:rFonts w:ascii="Calibri" w:hAnsi="Calibri" w:cs="Calibri"/>
          <w:color w:val="7F7F7F" w:themeColor="text1" w:themeTint="80"/>
          <w:sz w:val="26"/>
          <w:szCs w:val="26"/>
        </w:rPr>
        <w:t xml:space="preserve"> planteada se hace consistir en determinar la legalidad o ilegalidad del </w:t>
      </w:r>
      <w:r w:rsidRPr="00CA2801">
        <w:rPr>
          <w:rFonts w:ascii="Calibri" w:hAnsi="Calibri" w:cs="Calibri"/>
          <w:color w:val="7F7F7F" w:themeColor="text1" w:themeTint="80"/>
          <w:sz w:val="26"/>
          <w:szCs w:val="26"/>
        </w:rPr>
        <w:t>requerimiento</w:t>
      </w:r>
      <w:r w:rsidRPr="00CA2801">
        <w:t xml:space="preserve"> </w:t>
      </w:r>
      <w:r w:rsidRPr="00CA2801">
        <w:rPr>
          <w:rFonts w:ascii="Calibri" w:hAnsi="Calibri" w:cs="Calibri"/>
          <w:color w:val="7F7F7F" w:themeColor="text1" w:themeTint="80"/>
          <w:sz w:val="26"/>
          <w:szCs w:val="26"/>
        </w:rPr>
        <w:t xml:space="preserve">de pago del impuesto predial con número </w:t>
      </w:r>
      <w:r w:rsidRPr="00BF3C35">
        <w:rPr>
          <w:rFonts w:ascii="Calibri" w:hAnsi="Calibri" w:cs="Calibri"/>
          <w:color w:val="7F7F7F" w:themeColor="text1" w:themeTint="80"/>
          <w:sz w:val="26"/>
          <w:szCs w:val="26"/>
        </w:rPr>
        <w:t xml:space="preserve">PR-2013-00471907 de </w:t>
      </w:r>
      <w:r w:rsidRPr="00CA2801">
        <w:rPr>
          <w:rFonts w:ascii="Calibri" w:hAnsi="Calibri" w:cs="Calibri"/>
          <w:color w:val="7F7F7F" w:themeColor="text1" w:themeTint="80"/>
          <w:sz w:val="26"/>
          <w:szCs w:val="26"/>
        </w:rPr>
        <w:t>fecha 18 dieciocho de julio del año 2013 dos mil trece</w:t>
      </w:r>
      <w:r w:rsidRPr="00C14C6C">
        <w:rPr>
          <w:rFonts w:ascii="Calibri" w:hAnsi="Calibri" w:cs="Calibri"/>
          <w:color w:val="7F7F7F" w:themeColor="text1" w:themeTint="80"/>
          <w:sz w:val="26"/>
          <w:szCs w:val="26"/>
        </w:rPr>
        <w:t xml:space="preserve">. . . . . . . . . . . . . . . . . . . . . . . . . . . . . . . . . . . . . . . . . . . . . . . . . . . . </w:t>
      </w:r>
      <w:r>
        <w:rPr>
          <w:rFonts w:ascii="Calibri" w:hAnsi="Calibri" w:cs="Calibri"/>
          <w:color w:val="7F7F7F" w:themeColor="text1" w:themeTint="80"/>
          <w:sz w:val="26"/>
          <w:szCs w:val="26"/>
        </w:rPr>
        <w:t xml:space="preserve">. . . . . . . . </w:t>
      </w:r>
      <w:proofErr w:type="gramStart"/>
      <w:r>
        <w:rPr>
          <w:rFonts w:ascii="Calibri" w:hAnsi="Calibri" w:cs="Calibri"/>
          <w:color w:val="7F7F7F" w:themeColor="text1" w:themeTint="80"/>
          <w:sz w:val="26"/>
          <w:szCs w:val="26"/>
        </w:rPr>
        <w:t>. . . .</w:t>
      </w:r>
      <w:proofErr w:type="gramEnd"/>
      <w:r>
        <w:rPr>
          <w:rFonts w:ascii="Calibri" w:hAnsi="Calibri" w:cs="Calibri"/>
          <w:color w:val="7F7F7F" w:themeColor="text1" w:themeTint="80"/>
          <w:sz w:val="26"/>
          <w:szCs w:val="26"/>
        </w:rPr>
        <w:t xml:space="preserve"> . </w:t>
      </w:r>
    </w:p>
    <w:p w:rsidR="00112CDC" w:rsidRPr="00C14C6C" w:rsidRDefault="00112CDC" w:rsidP="00112CDC">
      <w:pPr>
        <w:pStyle w:val="Textoindependiente"/>
        <w:rPr>
          <w:rFonts w:ascii="Calibri" w:hAnsi="Calibri"/>
          <w:color w:val="7F7F7F" w:themeColor="text1" w:themeTint="80"/>
          <w:sz w:val="26"/>
        </w:rPr>
      </w:pPr>
    </w:p>
    <w:p w:rsidR="00112CDC" w:rsidRPr="00C14C6C" w:rsidRDefault="00112CDC" w:rsidP="00112CDC">
      <w:pPr>
        <w:pStyle w:val="Textoindependiente"/>
        <w:ind w:firstLine="708"/>
        <w:rPr>
          <w:rFonts w:ascii="Calibri" w:hAnsi="Calibri"/>
          <w:color w:val="7F7F7F" w:themeColor="text1" w:themeTint="80"/>
          <w:sz w:val="26"/>
        </w:rPr>
      </w:pPr>
      <w:proofErr w:type="gramStart"/>
      <w:r w:rsidRPr="00C14C6C">
        <w:rPr>
          <w:rFonts w:ascii="Calibri" w:hAnsi="Calibri"/>
          <w:b/>
          <w:bCs/>
          <w:i/>
          <w:iCs/>
          <w:color w:val="7F7F7F" w:themeColor="text1" w:themeTint="80"/>
          <w:sz w:val="26"/>
        </w:rPr>
        <w:t>SEXTO.-</w:t>
      </w:r>
      <w:proofErr w:type="gramEnd"/>
      <w:r w:rsidRPr="00C14C6C">
        <w:rPr>
          <w:rFonts w:ascii="Calibri" w:hAnsi="Calibri"/>
          <w:color w:val="7F7F7F" w:themeColor="text1" w:themeTint="80"/>
          <w:sz w:val="26"/>
        </w:rPr>
        <w:t xml:space="preserve"> No existiendo impedimento legal, se procede al estudio de los conceptos de impugnación expresados por el actor en su escrito de demanda </w:t>
      </w:r>
      <w:r>
        <w:rPr>
          <w:rFonts w:ascii="Calibri" w:hAnsi="Calibri"/>
          <w:color w:val="7F7F7F" w:themeColor="text1" w:themeTint="80"/>
          <w:sz w:val="26"/>
        </w:rPr>
        <w:t xml:space="preserve">respecto del requerimiento de pago número </w:t>
      </w:r>
      <w:r w:rsidRPr="00BF3C35">
        <w:rPr>
          <w:rFonts w:ascii="Calibri" w:hAnsi="Calibri"/>
          <w:color w:val="7F7F7F" w:themeColor="text1" w:themeTint="80"/>
          <w:sz w:val="26"/>
        </w:rPr>
        <w:t xml:space="preserve">PR-2013-00471907, </w:t>
      </w:r>
      <w:r>
        <w:rPr>
          <w:rFonts w:ascii="Calibri" w:hAnsi="Calibri"/>
          <w:color w:val="7F7F7F" w:themeColor="text1" w:themeTint="80"/>
          <w:sz w:val="26"/>
        </w:rPr>
        <w:t>emitido el día 18 dieciocho de julio del año 2013 dos mil trece, que queda subsistente</w:t>
      </w:r>
      <w:r w:rsidRPr="00C14C6C">
        <w:rPr>
          <w:rFonts w:ascii="Calibri" w:hAnsi="Calibri"/>
          <w:color w:val="7F7F7F" w:themeColor="text1" w:themeTint="80"/>
          <w:sz w:val="26"/>
        </w:rPr>
        <w:t>. . .</w:t>
      </w:r>
      <w:r>
        <w:rPr>
          <w:rFonts w:ascii="Calibri" w:hAnsi="Calibri"/>
          <w:color w:val="7F7F7F" w:themeColor="text1" w:themeTint="80"/>
          <w:sz w:val="26"/>
        </w:rPr>
        <w:t xml:space="preserve"> . . . . . .</w:t>
      </w:r>
    </w:p>
    <w:p w:rsidR="00112CDC" w:rsidRPr="00C14C6C" w:rsidRDefault="00112CDC" w:rsidP="00112CDC">
      <w:pPr>
        <w:pStyle w:val="Textoindependiente"/>
        <w:rPr>
          <w:rFonts w:ascii="Calibri" w:hAnsi="Calibri"/>
          <w:b/>
          <w:color w:val="7F7F7F" w:themeColor="text1" w:themeTint="80"/>
          <w:sz w:val="26"/>
        </w:rPr>
      </w:pPr>
    </w:p>
    <w:p w:rsidR="00112CDC" w:rsidRPr="00C14C6C" w:rsidRDefault="00112CDC" w:rsidP="00112CDC">
      <w:pPr>
        <w:pStyle w:val="Textoindependiente"/>
        <w:ind w:firstLine="708"/>
        <w:rPr>
          <w:rFonts w:ascii="Calibri" w:hAnsi="Calibri"/>
          <w:color w:val="7F7F7F" w:themeColor="text1" w:themeTint="80"/>
          <w:sz w:val="26"/>
          <w:szCs w:val="26"/>
        </w:rPr>
      </w:pPr>
      <w:r w:rsidRPr="00C14C6C">
        <w:rPr>
          <w:rFonts w:ascii="Calibri" w:hAnsi="Calibri"/>
          <w:color w:val="7F7F7F" w:themeColor="text1" w:themeTint="80"/>
          <w:sz w:val="26"/>
          <w:szCs w:val="26"/>
        </w:rPr>
        <w:t xml:space="preserve">Este Juzgador de manera primordial procederá al análisis del concepto de impugnación, aplicando el principio de mayor consecuencia anulatoria de los actos controvertidos y que pudiera traer mayor beneficio a la parte actora, en concordancia con los principios de congruencia y exhaustividad que deben regir en toda sentencia. . . . . . . . . . . . . . . . . . . . . . . . . . . . . . . . . . . . . . . . . . . . . . . . . . . . . . </w:t>
      </w:r>
    </w:p>
    <w:p w:rsidR="00112CDC" w:rsidRPr="00C14C6C" w:rsidRDefault="00112CDC" w:rsidP="00112CDC">
      <w:pPr>
        <w:ind w:firstLine="708"/>
        <w:jc w:val="both"/>
        <w:rPr>
          <w:rFonts w:ascii="Calibri" w:hAnsi="Calibri"/>
          <w:color w:val="7F7F7F" w:themeColor="text1" w:themeTint="80"/>
          <w:sz w:val="26"/>
          <w:szCs w:val="27"/>
        </w:rPr>
      </w:pPr>
    </w:p>
    <w:p w:rsidR="00112CDC" w:rsidRPr="00C14C6C" w:rsidRDefault="00112CDC" w:rsidP="00112CDC">
      <w:pPr>
        <w:ind w:firstLine="708"/>
        <w:jc w:val="both"/>
        <w:rPr>
          <w:rFonts w:ascii="Calibri" w:hAnsi="Calibri"/>
          <w:color w:val="7F7F7F" w:themeColor="text1" w:themeTint="80"/>
          <w:sz w:val="26"/>
        </w:rPr>
      </w:pPr>
      <w:r w:rsidRPr="00C14C6C">
        <w:rPr>
          <w:rFonts w:ascii="Calibri" w:hAnsi="Calibri"/>
          <w:color w:val="7F7F7F" w:themeColor="text1" w:themeTint="80"/>
          <w:sz w:val="26"/>
          <w:szCs w:val="27"/>
        </w:rPr>
        <w:t xml:space="preserve">Así pues, se procederá al estudio del </w:t>
      </w:r>
      <w:r w:rsidRPr="00C14C6C">
        <w:rPr>
          <w:rFonts w:ascii="Calibri" w:hAnsi="Calibri"/>
          <w:b/>
          <w:color w:val="7F7F7F" w:themeColor="text1" w:themeTint="80"/>
          <w:sz w:val="26"/>
          <w:szCs w:val="27"/>
        </w:rPr>
        <w:t>primer</w:t>
      </w:r>
      <w:r w:rsidRPr="00C14C6C">
        <w:rPr>
          <w:rFonts w:ascii="Calibri" w:hAnsi="Calibri"/>
          <w:color w:val="7F7F7F" w:themeColor="text1" w:themeTint="80"/>
          <w:sz w:val="26"/>
          <w:szCs w:val="27"/>
        </w:rPr>
        <w:t xml:space="preserve"> concepto de impugnación esgrimido</w:t>
      </w:r>
      <w:r w:rsidRPr="00C14C6C">
        <w:rPr>
          <w:rFonts w:ascii="Calibri" w:hAnsi="Calibri"/>
          <w:color w:val="7F7F7F" w:themeColor="text1" w:themeTint="80"/>
          <w:sz w:val="26"/>
        </w:rPr>
        <w:t>, sin necesidad de transcribirlo en su totalidad</w:t>
      </w:r>
      <w:r>
        <w:rPr>
          <w:rFonts w:ascii="Calibri" w:hAnsi="Calibri"/>
          <w:color w:val="7F7F7F" w:themeColor="text1" w:themeTint="80"/>
          <w:sz w:val="26"/>
        </w:rPr>
        <w:t>, así como tampoco los restantes</w:t>
      </w:r>
      <w:r w:rsidRPr="00C14C6C">
        <w:rPr>
          <w:rFonts w:ascii="Calibri" w:hAnsi="Calibri"/>
          <w:color w:val="7F7F7F" w:themeColor="text1" w:themeTint="80"/>
          <w:sz w:val="26"/>
        </w:rPr>
        <w:t xml:space="preserve">; sirviendo para ello el criterio sostenido por el Tribunal Colegiado del Circuito del Poder Judicial de la Federación que se menciona en la siguiente Jurisprudencia: . . . . . . . . . . . . . . . . . . </w:t>
      </w:r>
      <w:r>
        <w:rPr>
          <w:rFonts w:ascii="Calibri" w:hAnsi="Calibri"/>
          <w:color w:val="7F7F7F" w:themeColor="text1" w:themeTint="80"/>
          <w:sz w:val="26"/>
        </w:rPr>
        <w:t xml:space="preserve">. . . . . . . . . . . . . . . . . . . . . . . . . . . . . . . . . </w:t>
      </w:r>
      <w:proofErr w:type="gramStart"/>
      <w:r>
        <w:rPr>
          <w:rFonts w:ascii="Calibri" w:hAnsi="Calibri"/>
          <w:color w:val="7F7F7F" w:themeColor="text1" w:themeTint="80"/>
          <w:sz w:val="26"/>
        </w:rPr>
        <w:t>. . . .</w:t>
      </w:r>
      <w:proofErr w:type="gramEnd"/>
      <w:r>
        <w:rPr>
          <w:rFonts w:ascii="Calibri" w:hAnsi="Calibri"/>
          <w:color w:val="7F7F7F" w:themeColor="text1" w:themeTint="80"/>
          <w:sz w:val="26"/>
        </w:rPr>
        <w:t xml:space="preserve"> .</w:t>
      </w:r>
    </w:p>
    <w:p w:rsidR="00112CDC" w:rsidRPr="00C14C6C" w:rsidRDefault="00112CDC" w:rsidP="00112CDC">
      <w:pPr>
        <w:ind w:firstLine="708"/>
        <w:jc w:val="both"/>
        <w:rPr>
          <w:rFonts w:ascii="Calibri" w:hAnsi="Calibri"/>
          <w:color w:val="7F7F7F" w:themeColor="text1" w:themeTint="80"/>
          <w:sz w:val="26"/>
        </w:rPr>
      </w:pPr>
    </w:p>
    <w:p w:rsidR="00112CDC" w:rsidRPr="00C14C6C" w:rsidRDefault="00112CDC" w:rsidP="00112CDC">
      <w:pPr>
        <w:ind w:firstLine="708"/>
        <w:jc w:val="both"/>
        <w:rPr>
          <w:rFonts w:ascii="Calibri" w:hAnsi="Calibri"/>
          <w:i/>
          <w:iCs/>
          <w:color w:val="7F7F7F" w:themeColor="text1" w:themeTint="80"/>
          <w:sz w:val="26"/>
          <w:szCs w:val="26"/>
        </w:rPr>
      </w:pPr>
      <w:r w:rsidRPr="00C14C6C">
        <w:rPr>
          <w:rFonts w:ascii="Calibri" w:hAnsi="Calibri"/>
          <w:b/>
          <w:i/>
          <w:iCs/>
          <w:color w:val="7F7F7F" w:themeColor="text1" w:themeTint="80"/>
          <w:sz w:val="26"/>
          <w:szCs w:val="26"/>
        </w:rPr>
        <w:t>“CONCEPTOS DE VIOLACIÓN. EL JUEZ NO ESTÁ OBLIGADO A TRANSCRIBIRLOS.</w:t>
      </w:r>
      <w:r w:rsidRPr="00C14C6C">
        <w:rPr>
          <w:rFonts w:ascii="Calibri" w:hAnsi="Calibri"/>
          <w:i/>
          <w:iCs/>
          <w:color w:val="7F7F7F" w:themeColor="text1" w:themeTint="80"/>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14C6C">
        <w:rPr>
          <w:rFonts w:ascii="Calibri" w:hAnsi="Calibri"/>
          <w:i/>
          <w:iCs/>
          <w:color w:val="7F7F7F" w:themeColor="text1" w:themeTint="80"/>
          <w:szCs w:val="27"/>
        </w:rPr>
        <w:t xml:space="preserve"> </w:t>
      </w:r>
      <w:r w:rsidRPr="00C14C6C">
        <w:rPr>
          <w:rFonts w:ascii="Calibri" w:hAnsi="Calibri"/>
          <w:i/>
          <w:iCs/>
          <w:color w:val="7F7F7F" w:themeColor="text1" w:themeTint="80"/>
          <w:sz w:val="20"/>
          <w:szCs w:val="20"/>
        </w:rPr>
        <w:t>S</w:t>
      </w:r>
      <w:r w:rsidRPr="00C14C6C">
        <w:rPr>
          <w:rFonts w:ascii="Calibri" w:hAnsi="Calibri"/>
          <w:color w:val="7F7F7F" w:themeColor="text1" w:themeTint="80"/>
          <w:sz w:val="20"/>
          <w:szCs w:val="20"/>
        </w:rPr>
        <w:t xml:space="preserve">EGUNDO TRIBUNAL COLEGIADO DEL SEXTO CIRCUITO. No. Registro: 196,477. Jurisprudencia, Materia(s): Común, Novena Época, Instancia: Tribunales Colegiados de Circuito, Fuente: Semanario Judicial de la </w:t>
      </w:r>
      <w:r w:rsidRPr="00C14C6C">
        <w:rPr>
          <w:rFonts w:ascii="Calibri" w:hAnsi="Calibri" w:cs="David Transparent"/>
          <w:color w:val="7F7F7F" w:themeColor="text1" w:themeTint="80"/>
          <w:sz w:val="20"/>
          <w:szCs w:val="20"/>
        </w:rPr>
        <w:t>Federación</w:t>
      </w:r>
      <w:r w:rsidRPr="00C14C6C">
        <w:rPr>
          <w:rFonts w:ascii="Calibri" w:hAnsi="Calibri"/>
          <w:color w:val="7F7F7F" w:themeColor="text1" w:themeTint="80"/>
          <w:sz w:val="20"/>
          <w:szCs w:val="20"/>
        </w:rPr>
        <w:t xml:space="preserve"> y su Gaceta. VII, </w:t>
      </w:r>
      <w:proofErr w:type="gramStart"/>
      <w:r w:rsidRPr="00C14C6C">
        <w:rPr>
          <w:rFonts w:ascii="Calibri" w:hAnsi="Calibri"/>
          <w:color w:val="7F7F7F" w:themeColor="text1" w:themeTint="80"/>
          <w:sz w:val="20"/>
          <w:szCs w:val="20"/>
        </w:rPr>
        <w:t>Abril</w:t>
      </w:r>
      <w:proofErr w:type="gramEnd"/>
      <w:r w:rsidRPr="00C14C6C">
        <w:rPr>
          <w:rFonts w:ascii="Calibri" w:hAnsi="Calibri"/>
          <w:color w:val="7F7F7F" w:themeColor="text1" w:themeTint="80"/>
          <w:sz w:val="20"/>
          <w:szCs w:val="20"/>
        </w:rPr>
        <w:t xml:space="preserve"> de 1998, Tesis: VI.2o. J/129. Página: 599</w:t>
      </w:r>
      <w:r w:rsidRPr="00C14C6C">
        <w:rPr>
          <w:rFonts w:ascii="Calibri" w:hAnsi="Calibri"/>
          <w:color w:val="7F7F7F" w:themeColor="text1" w:themeTint="80"/>
          <w:szCs w:val="27"/>
        </w:rPr>
        <w:t xml:space="preserve">. . . . . </w:t>
      </w:r>
      <w:r>
        <w:rPr>
          <w:rFonts w:ascii="Calibri" w:hAnsi="Calibri"/>
          <w:color w:val="7F7F7F" w:themeColor="text1" w:themeTint="80"/>
          <w:szCs w:val="27"/>
        </w:rPr>
        <w:t xml:space="preserve">. . . . . . . . . . . . . . . . . . . . . . </w:t>
      </w:r>
      <w:proofErr w:type="gramStart"/>
      <w:r>
        <w:rPr>
          <w:rFonts w:ascii="Calibri" w:hAnsi="Calibri"/>
          <w:color w:val="7F7F7F" w:themeColor="text1" w:themeTint="80"/>
          <w:szCs w:val="27"/>
        </w:rPr>
        <w:t>. . . .</w:t>
      </w:r>
      <w:proofErr w:type="gramEnd"/>
      <w:r>
        <w:rPr>
          <w:rFonts w:ascii="Calibri" w:hAnsi="Calibri"/>
          <w:color w:val="7F7F7F" w:themeColor="text1" w:themeTint="80"/>
          <w:szCs w:val="27"/>
        </w:rPr>
        <w:t xml:space="preserve"> . </w:t>
      </w:r>
    </w:p>
    <w:p w:rsidR="00112CDC" w:rsidRPr="00C14C6C" w:rsidRDefault="00112CDC" w:rsidP="00112CDC">
      <w:pPr>
        <w:pStyle w:val="Textoindependiente"/>
        <w:rPr>
          <w:rFonts w:ascii="Calibri" w:hAnsi="Calibri"/>
          <w:color w:val="7F7F7F" w:themeColor="text1" w:themeTint="80"/>
          <w:sz w:val="26"/>
          <w:szCs w:val="27"/>
        </w:rPr>
      </w:pPr>
    </w:p>
    <w:p w:rsidR="00112CDC" w:rsidRDefault="00112CDC" w:rsidP="00112CDC">
      <w:pPr>
        <w:pStyle w:val="Textoindependiente"/>
        <w:ind w:firstLine="708"/>
        <w:rPr>
          <w:rFonts w:ascii="Calibri" w:hAnsi="Calibri"/>
          <w:color w:val="7F7F7F" w:themeColor="text1" w:themeTint="80"/>
          <w:sz w:val="26"/>
          <w:szCs w:val="27"/>
        </w:rPr>
      </w:pPr>
      <w:r w:rsidRPr="00C14C6C">
        <w:rPr>
          <w:rFonts w:ascii="Calibri" w:hAnsi="Calibri"/>
          <w:color w:val="7F7F7F" w:themeColor="text1" w:themeTint="80"/>
          <w:sz w:val="26"/>
          <w:szCs w:val="27"/>
        </w:rPr>
        <w:t xml:space="preserve">Así las cosas, en el </w:t>
      </w:r>
      <w:r>
        <w:rPr>
          <w:rFonts w:ascii="Calibri" w:hAnsi="Calibri"/>
          <w:color w:val="7F7F7F" w:themeColor="text1" w:themeTint="80"/>
          <w:sz w:val="26"/>
          <w:szCs w:val="27"/>
        </w:rPr>
        <w:t xml:space="preserve">primer </w:t>
      </w:r>
      <w:r w:rsidRPr="00C14C6C">
        <w:rPr>
          <w:rFonts w:ascii="Calibri" w:hAnsi="Calibri"/>
          <w:color w:val="7F7F7F" w:themeColor="text1" w:themeTint="80"/>
          <w:sz w:val="26"/>
          <w:szCs w:val="27"/>
        </w:rPr>
        <w:t xml:space="preserve">concepto de impugnación contenido en el escrito de demanda (palpable a foja </w:t>
      </w:r>
      <w:r>
        <w:rPr>
          <w:rFonts w:ascii="Calibri" w:hAnsi="Calibri"/>
          <w:color w:val="7F7F7F" w:themeColor="text1" w:themeTint="80"/>
          <w:sz w:val="26"/>
          <w:szCs w:val="27"/>
        </w:rPr>
        <w:t xml:space="preserve">1 </w:t>
      </w:r>
      <w:r w:rsidRPr="00C14C6C">
        <w:rPr>
          <w:rFonts w:ascii="Calibri" w:hAnsi="Calibri"/>
          <w:color w:val="7F7F7F" w:themeColor="text1" w:themeTint="80"/>
          <w:sz w:val="26"/>
          <w:szCs w:val="27"/>
        </w:rPr>
        <w:t>u</w:t>
      </w:r>
      <w:r>
        <w:rPr>
          <w:rFonts w:ascii="Calibri" w:hAnsi="Calibri"/>
          <w:color w:val="7F7F7F" w:themeColor="text1" w:themeTint="80"/>
          <w:sz w:val="26"/>
          <w:szCs w:val="27"/>
        </w:rPr>
        <w:t>n</w:t>
      </w:r>
      <w:r w:rsidRPr="00C14C6C">
        <w:rPr>
          <w:rFonts w:ascii="Calibri" w:hAnsi="Calibri"/>
          <w:color w:val="7F7F7F" w:themeColor="text1" w:themeTint="80"/>
          <w:sz w:val="26"/>
          <w:szCs w:val="27"/>
        </w:rPr>
        <w:t xml:space="preserve">o); el actor, </w:t>
      </w:r>
      <w:r w:rsidRPr="00C14C6C">
        <w:rPr>
          <w:rFonts w:ascii="Calibri" w:hAnsi="Calibri"/>
          <w:i/>
          <w:color w:val="7F7F7F" w:themeColor="text1" w:themeTint="80"/>
          <w:sz w:val="26"/>
          <w:szCs w:val="27"/>
        </w:rPr>
        <w:t>“grosso modo</w:t>
      </w:r>
      <w:proofErr w:type="gramStart"/>
      <w:r w:rsidRPr="00C14C6C">
        <w:rPr>
          <w:rFonts w:ascii="Calibri" w:hAnsi="Calibri"/>
          <w:i/>
          <w:color w:val="7F7F7F" w:themeColor="text1" w:themeTint="80"/>
          <w:sz w:val="26"/>
          <w:szCs w:val="27"/>
        </w:rPr>
        <w:t>”,</w:t>
      </w:r>
      <w:r w:rsidRPr="00C14C6C">
        <w:rPr>
          <w:rFonts w:ascii="Calibri" w:hAnsi="Calibri"/>
          <w:color w:val="7F7F7F" w:themeColor="text1" w:themeTint="80"/>
          <w:sz w:val="26"/>
          <w:szCs w:val="27"/>
        </w:rPr>
        <w:t xml:space="preserve">  argumentó</w:t>
      </w:r>
      <w:proofErr w:type="gramEnd"/>
      <w:r>
        <w:rPr>
          <w:rFonts w:ascii="Calibri" w:hAnsi="Calibri"/>
          <w:color w:val="7F7F7F" w:themeColor="text1" w:themeTint="80"/>
          <w:sz w:val="26"/>
          <w:szCs w:val="27"/>
        </w:rPr>
        <w:t xml:space="preserve">: </w:t>
      </w:r>
    </w:p>
    <w:p w:rsidR="00112CDC" w:rsidRDefault="00112CDC" w:rsidP="00112CDC">
      <w:pPr>
        <w:pStyle w:val="Textoindependiente"/>
        <w:rPr>
          <w:rFonts w:ascii="Calibri" w:hAnsi="Calibri"/>
          <w:color w:val="7F7F7F" w:themeColor="text1" w:themeTint="80"/>
          <w:sz w:val="26"/>
          <w:szCs w:val="27"/>
        </w:rPr>
      </w:pPr>
    </w:p>
    <w:p w:rsidR="00112CDC" w:rsidRPr="00026075" w:rsidRDefault="00112CDC" w:rsidP="00112CDC">
      <w:pPr>
        <w:pStyle w:val="Textoindependiente"/>
        <w:ind w:firstLine="708"/>
        <w:rPr>
          <w:rFonts w:ascii="Calibri" w:hAnsi="Calibri"/>
          <w:i/>
          <w:color w:val="7F7F7F" w:themeColor="text1" w:themeTint="80"/>
          <w:sz w:val="26"/>
          <w:szCs w:val="27"/>
        </w:rPr>
      </w:pPr>
      <w:r w:rsidRPr="00026075">
        <w:rPr>
          <w:rFonts w:ascii="Calibri" w:hAnsi="Calibri"/>
          <w:i/>
          <w:color w:val="7F7F7F" w:themeColor="text1" w:themeTint="80"/>
          <w:sz w:val="26"/>
          <w:szCs w:val="27"/>
        </w:rPr>
        <w:t>“</w:t>
      </w:r>
      <w:proofErr w:type="gramStart"/>
      <w:r w:rsidRPr="00026075">
        <w:rPr>
          <w:rFonts w:ascii="Calibri" w:hAnsi="Calibri"/>
          <w:i/>
          <w:color w:val="7F7F7F" w:themeColor="text1" w:themeTint="80"/>
          <w:sz w:val="26"/>
          <w:szCs w:val="27"/>
        </w:rPr>
        <w:t>Primero.-</w:t>
      </w:r>
      <w:proofErr w:type="gramEnd"/>
      <w:r w:rsidRPr="00026075">
        <w:rPr>
          <w:rFonts w:ascii="Calibri" w:hAnsi="Calibri"/>
          <w:i/>
          <w:color w:val="7F7F7F" w:themeColor="text1" w:themeTint="80"/>
          <w:sz w:val="26"/>
          <w:szCs w:val="27"/>
        </w:rPr>
        <w:t xml:space="preserve"> Falta de fundamento y motivación, el requerimiento de pago de impuesto predial con número PR-2013-00471907, ya que fuera de todo procedimiento me pretende requerir e</w:t>
      </w:r>
      <w:r>
        <w:rPr>
          <w:rFonts w:ascii="Calibri" w:hAnsi="Calibri"/>
          <w:i/>
          <w:color w:val="7F7F7F" w:themeColor="text1" w:themeTint="80"/>
          <w:sz w:val="26"/>
          <w:szCs w:val="27"/>
        </w:rPr>
        <w:t xml:space="preserve">l pago del impuesto predial….,y </w:t>
      </w:r>
      <w:r w:rsidRPr="00026075">
        <w:rPr>
          <w:rFonts w:ascii="Calibri" w:hAnsi="Calibri"/>
          <w:i/>
          <w:color w:val="7F7F7F" w:themeColor="text1" w:themeTint="80"/>
          <w:sz w:val="26"/>
          <w:szCs w:val="27"/>
        </w:rPr>
        <w:t>carecer de firma autógrafa…” . . . . .</w:t>
      </w:r>
      <w:r>
        <w:rPr>
          <w:rFonts w:ascii="Calibri" w:hAnsi="Calibri"/>
          <w:i/>
          <w:color w:val="7F7F7F" w:themeColor="text1" w:themeTint="80"/>
          <w:sz w:val="26"/>
          <w:szCs w:val="27"/>
        </w:rPr>
        <w:t xml:space="preserve"> . . . . . . . . . . . . . . . . . . . . . . . . . . . . . . . . . . . . . . . . . . . . . . . .</w:t>
      </w:r>
    </w:p>
    <w:p w:rsidR="00112CDC" w:rsidRDefault="00112CDC" w:rsidP="00112CDC">
      <w:pPr>
        <w:ind w:firstLine="708"/>
        <w:jc w:val="both"/>
        <w:rPr>
          <w:rFonts w:ascii="Calibri" w:hAnsi="Calibri"/>
          <w:color w:val="7F7F7F" w:themeColor="text1" w:themeTint="80"/>
          <w:sz w:val="26"/>
          <w:szCs w:val="27"/>
        </w:rPr>
      </w:pPr>
    </w:p>
    <w:p w:rsidR="00112CDC" w:rsidRPr="002E0F36" w:rsidRDefault="00112CDC" w:rsidP="00112CDC">
      <w:pPr>
        <w:ind w:firstLine="708"/>
        <w:jc w:val="both"/>
        <w:rPr>
          <w:rFonts w:asciiTheme="minorHAnsi" w:hAnsiTheme="minorHAnsi"/>
          <w:color w:val="7F7F7F" w:themeColor="text1" w:themeTint="80"/>
          <w:sz w:val="26"/>
          <w:szCs w:val="26"/>
        </w:rPr>
      </w:pPr>
      <w:r w:rsidRPr="002E0F36">
        <w:rPr>
          <w:rFonts w:asciiTheme="minorHAnsi" w:hAnsiTheme="minorHAnsi"/>
          <w:color w:val="7F7F7F" w:themeColor="text1" w:themeTint="80"/>
          <w:sz w:val="26"/>
          <w:szCs w:val="26"/>
        </w:rPr>
        <w:t>Por su parte, l</w:t>
      </w:r>
      <w:r>
        <w:rPr>
          <w:rFonts w:asciiTheme="minorHAnsi" w:hAnsiTheme="minorHAnsi"/>
          <w:color w:val="7F7F7F" w:themeColor="text1" w:themeTint="80"/>
          <w:sz w:val="26"/>
          <w:szCs w:val="26"/>
        </w:rPr>
        <w:t>a</w:t>
      </w:r>
      <w:r w:rsidRPr="002E0F36">
        <w:rPr>
          <w:rFonts w:asciiTheme="minorHAnsi" w:hAnsiTheme="minorHAnsi"/>
          <w:color w:val="7F7F7F" w:themeColor="text1" w:themeTint="80"/>
          <w:sz w:val="26"/>
          <w:szCs w:val="26"/>
        </w:rPr>
        <w:t xml:space="preserve"> </w:t>
      </w:r>
      <w:r>
        <w:rPr>
          <w:rFonts w:asciiTheme="minorHAnsi" w:hAnsiTheme="minorHAnsi"/>
          <w:color w:val="7F7F7F" w:themeColor="text1" w:themeTint="80"/>
          <w:sz w:val="26"/>
          <w:szCs w:val="26"/>
        </w:rPr>
        <w:t>autoridad Director de Ejecución</w:t>
      </w:r>
      <w:r w:rsidRPr="002E0F36">
        <w:rPr>
          <w:rFonts w:asciiTheme="minorHAnsi" w:hAnsiTheme="minorHAnsi"/>
          <w:color w:val="7F7F7F" w:themeColor="text1" w:themeTint="80"/>
          <w:sz w:val="26"/>
          <w:szCs w:val="26"/>
        </w:rPr>
        <w:t>, en su escrito de contestación de la demanda, en relación a lo expresado por el actor, sólo refiri</w:t>
      </w:r>
      <w:r>
        <w:rPr>
          <w:rFonts w:asciiTheme="minorHAnsi" w:hAnsiTheme="minorHAnsi"/>
          <w:color w:val="7F7F7F" w:themeColor="text1" w:themeTint="80"/>
          <w:sz w:val="26"/>
          <w:szCs w:val="26"/>
        </w:rPr>
        <w:t>ó que el concepto de impugnación esgrimido era improcedente y falso y que no causaba perjuicio al accionante, pues el acto se emitió, ejecutó y notificó, con estricta observancia a los ordenamientos legales</w:t>
      </w:r>
      <w:r w:rsidRPr="002E0F36">
        <w:rPr>
          <w:rFonts w:asciiTheme="minorHAnsi" w:hAnsiTheme="minorHAnsi"/>
          <w:color w:val="7F7F7F" w:themeColor="text1" w:themeTint="80"/>
          <w:sz w:val="26"/>
          <w:szCs w:val="26"/>
        </w:rPr>
        <w:t xml:space="preserve">. . . . . . . . . </w:t>
      </w:r>
      <w:r>
        <w:rPr>
          <w:rFonts w:asciiTheme="minorHAnsi" w:hAnsiTheme="minorHAnsi"/>
          <w:color w:val="7F7F7F" w:themeColor="text1" w:themeTint="80"/>
          <w:sz w:val="26"/>
          <w:szCs w:val="26"/>
        </w:rPr>
        <w:t xml:space="preserve">. . . . . . . . . . . . . . . </w:t>
      </w:r>
      <w:proofErr w:type="gramStart"/>
      <w:r>
        <w:rPr>
          <w:rFonts w:asciiTheme="minorHAnsi" w:hAnsiTheme="minorHAnsi"/>
          <w:color w:val="7F7F7F" w:themeColor="text1" w:themeTint="80"/>
          <w:sz w:val="26"/>
          <w:szCs w:val="26"/>
        </w:rPr>
        <w:t>. . . .</w:t>
      </w:r>
      <w:proofErr w:type="gramEnd"/>
      <w:r>
        <w:rPr>
          <w:rFonts w:asciiTheme="minorHAnsi" w:hAnsiTheme="minorHAnsi"/>
          <w:color w:val="7F7F7F" w:themeColor="text1" w:themeTint="80"/>
          <w:sz w:val="26"/>
          <w:szCs w:val="26"/>
        </w:rPr>
        <w:t xml:space="preserve"> </w:t>
      </w:r>
    </w:p>
    <w:p w:rsidR="00112CDC" w:rsidRPr="002E0F36" w:rsidRDefault="00112CDC" w:rsidP="00112CDC">
      <w:pPr>
        <w:pStyle w:val="Sangra3detindependiente"/>
        <w:rPr>
          <w:rFonts w:cs="Arial"/>
          <w:color w:val="7F7F7F" w:themeColor="text1" w:themeTint="80"/>
          <w:szCs w:val="26"/>
        </w:rPr>
      </w:pPr>
    </w:p>
    <w:p w:rsidR="00112CDC" w:rsidRPr="00584D88" w:rsidRDefault="00112CDC" w:rsidP="00112CDC">
      <w:pPr>
        <w:autoSpaceDE w:val="0"/>
        <w:autoSpaceDN w:val="0"/>
        <w:adjustRightInd w:val="0"/>
        <w:ind w:firstLine="708"/>
        <w:jc w:val="both"/>
        <w:rPr>
          <w:rFonts w:asciiTheme="minorHAnsi" w:hAnsiTheme="minorHAnsi"/>
          <w:color w:val="7F7F7F" w:themeColor="text1" w:themeTint="80"/>
          <w:sz w:val="26"/>
          <w:szCs w:val="26"/>
        </w:rPr>
      </w:pPr>
      <w:r w:rsidRPr="00584D88">
        <w:rPr>
          <w:rFonts w:asciiTheme="minorHAnsi" w:hAnsiTheme="minorHAnsi" w:cs="Arial"/>
          <w:color w:val="7F7F7F" w:themeColor="text1" w:themeTint="80"/>
          <w:sz w:val="26"/>
          <w:szCs w:val="26"/>
        </w:rPr>
        <w:t xml:space="preserve">Analizado que </w:t>
      </w:r>
      <w:r>
        <w:rPr>
          <w:rFonts w:asciiTheme="minorHAnsi" w:hAnsiTheme="minorHAnsi" w:cs="Arial"/>
          <w:color w:val="7F7F7F" w:themeColor="text1" w:themeTint="80"/>
          <w:sz w:val="26"/>
          <w:szCs w:val="26"/>
        </w:rPr>
        <w:t>e</w:t>
      </w:r>
      <w:r w:rsidRPr="00584D88">
        <w:rPr>
          <w:rFonts w:asciiTheme="minorHAnsi" w:hAnsiTheme="minorHAnsi" w:cs="Arial"/>
          <w:color w:val="7F7F7F" w:themeColor="text1" w:themeTint="80"/>
          <w:sz w:val="26"/>
          <w:szCs w:val="26"/>
        </w:rPr>
        <w:t xml:space="preserve">s </w:t>
      </w:r>
      <w:r>
        <w:rPr>
          <w:rFonts w:asciiTheme="minorHAnsi" w:hAnsiTheme="minorHAnsi" w:cs="Arial"/>
          <w:color w:val="7F7F7F" w:themeColor="text1" w:themeTint="80"/>
          <w:sz w:val="26"/>
          <w:szCs w:val="26"/>
        </w:rPr>
        <w:t>e</w:t>
      </w:r>
      <w:r w:rsidRPr="00584D88">
        <w:rPr>
          <w:rFonts w:asciiTheme="minorHAnsi" w:hAnsiTheme="minorHAnsi" w:cs="Arial"/>
          <w:color w:val="7F7F7F" w:themeColor="text1" w:themeTint="80"/>
          <w:sz w:val="26"/>
          <w:szCs w:val="26"/>
        </w:rPr>
        <w:t xml:space="preserve">l acto combatido, este Juzgador considera que es </w:t>
      </w:r>
      <w:r w:rsidRPr="00584D88">
        <w:rPr>
          <w:rFonts w:asciiTheme="minorHAnsi" w:hAnsiTheme="minorHAnsi" w:cs="Arial"/>
          <w:b/>
          <w:bCs/>
          <w:color w:val="7F7F7F" w:themeColor="text1" w:themeTint="80"/>
          <w:sz w:val="26"/>
          <w:szCs w:val="26"/>
        </w:rPr>
        <w:t>fundado</w:t>
      </w:r>
      <w:r w:rsidRPr="00584D88">
        <w:rPr>
          <w:rFonts w:asciiTheme="minorHAnsi" w:hAnsiTheme="minorHAnsi" w:cs="Arial"/>
          <w:color w:val="7F7F7F" w:themeColor="text1" w:themeTint="80"/>
          <w:sz w:val="26"/>
          <w:szCs w:val="26"/>
        </w:rPr>
        <w:t xml:space="preserve"> el concepto de impugnación que se examina, en el aspecto que se ha destacado; </w:t>
      </w:r>
      <w:r w:rsidRPr="00584D88">
        <w:rPr>
          <w:rFonts w:asciiTheme="minorHAnsi" w:hAnsiTheme="minorHAnsi"/>
          <w:color w:val="7F7F7F" w:themeColor="text1" w:themeTint="80"/>
          <w:sz w:val="26"/>
          <w:szCs w:val="26"/>
        </w:rPr>
        <w:t xml:space="preserve">toda vez que en efecto, en dicho documento </w:t>
      </w:r>
      <w:r w:rsidRPr="00B75AE9">
        <w:rPr>
          <w:rFonts w:asciiTheme="minorHAnsi" w:hAnsiTheme="minorHAnsi"/>
          <w:b/>
          <w:color w:val="7F7F7F" w:themeColor="text1" w:themeTint="80"/>
          <w:sz w:val="26"/>
          <w:szCs w:val="26"/>
        </w:rPr>
        <w:t>no obra</w:t>
      </w:r>
      <w:r w:rsidRPr="00584D88">
        <w:rPr>
          <w:rFonts w:asciiTheme="minorHAnsi" w:hAnsiTheme="minorHAnsi"/>
          <w:color w:val="7F7F7F" w:themeColor="text1" w:themeTint="80"/>
          <w:sz w:val="26"/>
          <w:szCs w:val="26"/>
        </w:rPr>
        <w:t xml:space="preserve"> la firma autógrafa del Director de Ejecuc</w:t>
      </w:r>
      <w:r>
        <w:rPr>
          <w:rFonts w:asciiTheme="minorHAnsi" w:hAnsiTheme="minorHAnsi"/>
          <w:color w:val="7F7F7F" w:themeColor="text1" w:themeTint="80"/>
          <w:sz w:val="26"/>
          <w:szCs w:val="26"/>
        </w:rPr>
        <w:t>ión, Ingeniero (.....);</w:t>
      </w:r>
      <w:r w:rsidRPr="00584D88">
        <w:rPr>
          <w:rFonts w:asciiTheme="minorHAnsi" w:hAnsiTheme="minorHAnsi"/>
          <w:color w:val="7F7F7F" w:themeColor="text1" w:themeTint="80"/>
          <w:sz w:val="26"/>
          <w:szCs w:val="26"/>
        </w:rPr>
        <w:t xml:space="preserve"> ya que si bien es cierto que en el propio </w:t>
      </w:r>
      <w:r>
        <w:rPr>
          <w:rFonts w:asciiTheme="minorHAnsi" w:hAnsiTheme="minorHAnsi"/>
          <w:color w:val="7F7F7F" w:themeColor="text1" w:themeTint="80"/>
          <w:sz w:val="26"/>
          <w:szCs w:val="26"/>
        </w:rPr>
        <w:t>requerimi</w:t>
      </w:r>
      <w:r w:rsidRPr="00584D88">
        <w:rPr>
          <w:rFonts w:asciiTheme="minorHAnsi" w:hAnsiTheme="minorHAnsi"/>
          <w:color w:val="7F7F7F" w:themeColor="text1" w:themeTint="80"/>
          <w:sz w:val="26"/>
          <w:szCs w:val="26"/>
        </w:rPr>
        <w:t xml:space="preserve">ento, se aprecia un signo gráfico sobre el nombre del señalado Director, cierto es también que dicho signo no fue estampado del puño y letra del demandado; </w:t>
      </w:r>
      <w:r w:rsidRPr="00E424B7">
        <w:rPr>
          <w:rFonts w:asciiTheme="minorHAnsi" w:hAnsiTheme="minorHAnsi"/>
          <w:color w:val="7F7F7F" w:themeColor="text1" w:themeTint="80"/>
          <w:sz w:val="26"/>
          <w:szCs w:val="26"/>
          <w:u w:val="single"/>
        </w:rPr>
        <w:t>sino que se trata de una impresión por computadora de tal firma</w:t>
      </w:r>
      <w:r w:rsidRPr="00584D88">
        <w:rPr>
          <w:rFonts w:asciiTheme="minorHAnsi" w:hAnsiTheme="minorHAnsi"/>
          <w:color w:val="7F7F7F" w:themeColor="text1" w:themeTint="80"/>
          <w:sz w:val="26"/>
          <w:szCs w:val="26"/>
        </w:rPr>
        <w:t>; lo que vulnera sin duda alguna, el requisito formal consistente en que todo acto administrativo debe contener en el texto del documento, la firma autógrafa o electrónica de la autoridad de la que emane, tal y como lo dispone la fracción V del artículo 137 del Código de Procedimiento y Justicia Administrativa para el Estado y los Municipios de Guanajuato, toda vez que esa firma no es otra cosa que la manifestación de la voluntad de la autoridad para la emisión del acto.</w:t>
      </w:r>
      <w:r>
        <w:rPr>
          <w:rFonts w:asciiTheme="minorHAnsi" w:hAnsiTheme="minorHAnsi"/>
          <w:color w:val="7F7F7F" w:themeColor="text1" w:themeTint="80"/>
          <w:sz w:val="26"/>
          <w:szCs w:val="26"/>
        </w:rPr>
        <w:t xml:space="preserve"> . . . . .  . . . . . . . . . . . . . . . . . . . . . . . . . . . . . . . . . . . . . . . . . . .</w:t>
      </w:r>
    </w:p>
    <w:p w:rsidR="00112CDC" w:rsidRPr="005376D4" w:rsidRDefault="00112CDC" w:rsidP="00112CDC">
      <w:pPr>
        <w:autoSpaceDE w:val="0"/>
        <w:autoSpaceDN w:val="0"/>
        <w:adjustRightInd w:val="0"/>
        <w:ind w:firstLine="708"/>
        <w:jc w:val="both"/>
        <w:rPr>
          <w:rFonts w:ascii="Calibri" w:hAnsi="Calibri"/>
          <w:color w:val="7F7F7F" w:themeColor="text1" w:themeTint="80"/>
          <w:sz w:val="22"/>
          <w:szCs w:val="27"/>
        </w:rPr>
      </w:pPr>
    </w:p>
    <w:p w:rsidR="00112CDC" w:rsidRDefault="00112CDC" w:rsidP="00112CDC">
      <w:pPr>
        <w:autoSpaceDE w:val="0"/>
        <w:autoSpaceDN w:val="0"/>
        <w:adjustRightInd w:val="0"/>
        <w:ind w:firstLine="708"/>
        <w:jc w:val="both"/>
        <w:rPr>
          <w:rFonts w:ascii="Calibri" w:hAnsi="Calibri"/>
          <w:color w:val="7F7F7F" w:themeColor="text1" w:themeTint="80"/>
          <w:sz w:val="26"/>
          <w:szCs w:val="27"/>
        </w:rPr>
      </w:pPr>
      <w:r w:rsidRPr="005376D4">
        <w:rPr>
          <w:rFonts w:ascii="Calibri" w:hAnsi="Calibri"/>
          <w:color w:val="7F7F7F" w:themeColor="text1" w:themeTint="80"/>
          <w:sz w:val="26"/>
          <w:szCs w:val="27"/>
        </w:rPr>
        <w:t>Luego entonces, al no estampar su firma, ya sea autógrafa o electrónica, la autoridad que aparece como emisora y, que además</w:t>
      </w:r>
      <w:r>
        <w:rPr>
          <w:rFonts w:ascii="Calibri" w:hAnsi="Calibri"/>
          <w:color w:val="7F7F7F" w:themeColor="text1" w:themeTint="80"/>
          <w:sz w:val="26"/>
          <w:szCs w:val="27"/>
        </w:rPr>
        <w:t>,</w:t>
      </w:r>
      <w:r w:rsidRPr="005376D4">
        <w:rPr>
          <w:rFonts w:ascii="Calibri" w:hAnsi="Calibri"/>
          <w:color w:val="7F7F7F" w:themeColor="text1" w:themeTint="80"/>
          <w:sz w:val="26"/>
          <w:szCs w:val="27"/>
        </w:rPr>
        <w:t xml:space="preserve"> se aprecia a simple vista, que la que </w:t>
      </w:r>
      <w:r>
        <w:rPr>
          <w:rFonts w:ascii="Calibri" w:hAnsi="Calibri"/>
          <w:color w:val="7F7F7F" w:themeColor="text1" w:themeTint="80"/>
          <w:sz w:val="26"/>
          <w:szCs w:val="27"/>
        </w:rPr>
        <w:t>se plasmó en</w:t>
      </w:r>
      <w:r w:rsidRPr="005376D4">
        <w:rPr>
          <w:rFonts w:ascii="Calibri" w:hAnsi="Calibri"/>
          <w:color w:val="7F7F7F" w:themeColor="text1" w:themeTint="80"/>
          <w:sz w:val="26"/>
          <w:szCs w:val="27"/>
        </w:rPr>
        <w:t xml:space="preserve"> el </w:t>
      </w:r>
      <w:r>
        <w:rPr>
          <w:rFonts w:ascii="Calibri" w:hAnsi="Calibri"/>
          <w:color w:val="7F7F7F" w:themeColor="text1" w:themeTint="80"/>
          <w:sz w:val="26"/>
          <w:szCs w:val="27"/>
        </w:rPr>
        <w:t>requer</w:t>
      </w:r>
      <w:r w:rsidRPr="005376D4">
        <w:rPr>
          <w:rFonts w:ascii="Calibri" w:hAnsi="Calibri"/>
          <w:color w:val="7F7F7F" w:themeColor="text1" w:themeTint="80"/>
          <w:sz w:val="26"/>
          <w:szCs w:val="27"/>
        </w:rPr>
        <w:t>i</w:t>
      </w:r>
      <w:r>
        <w:rPr>
          <w:rFonts w:ascii="Calibri" w:hAnsi="Calibri"/>
          <w:color w:val="7F7F7F" w:themeColor="text1" w:themeTint="80"/>
          <w:sz w:val="26"/>
          <w:szCs w:val="27"/>
        </w:rPr>
        <w:t>mie</w:t>
      </w:r>
      <w:r w:rsidRPr="005376D4">
        <w:rPr>
          <w:rFonts w:ascii="Calibri" w:hAnsi="Calibri"/>
          <w:color w:val="7F7F7F" w:themeColor="text1" w:themeTint="80"/>
          <w:sz w:val="26"/>
          <w:szCs w:val="27"/>
        </w:rPr>
        <w:t xml:space="preserve">nto se trata de una impresión por computadora; se traduce en que existe un vicio en la exteriorización de la voluntad del Director de Ejecución, porque ese signo gráfico </w:t>
      </w:r>
      <w:r>
        <w:rPr>
          <w:rFonts w:ascii="Calibri" w:hAnsi="Calibri"/>
          <w:color w:val="7F7F7F" w:themeColor="text1" w:themeTint="80"/>
          <w:sz w:val="26"/>
          <w:szCs w:val="27"/>
        </w:rPr>
        <w:t xml:space="preserve">(firma autógrafa o electrónica) </w:t>
      </w:r>
      <w:r w:rsidRPr="005376D4">
        <w:rPr>
          <w:rFonts w:ascii="Calibri" w:hAnsi="Calibri"/>
          <w:color w:val="7F7F7F" w:themeColor="text1" w:themeTint="80"/>
          <w:sz w:val="26"/>
          <w:szCs w:val="27"/>
        </w:rPr>
        <w:t>es el que le otorga certeza y eficacia a los actos de autoridad</w:t>
      </w:r>
      <w:r>
        <w:rPr>
          <w:rFonts w:ascii="Calibri" w:hAnsi="Calibri"/>
          <w:color w:val="7F7F7F" w:themeColor="text1" w:themeTint="80"/>
          <w:sz w:val="26"/>
          <w:szCs w:val="27"/>
        </w:rPr>
        <w:t>,</w:t>
      </w:r>
      <w:r w:rsidRPr="005376D4">
        <w:rPr>
          <w:rFonts w:ascii="Calibri" w:hAnsi="Calibri"/>
          <w:color w:val="7F7F7F" w:themeColor="text1" w:themeTint="80"/>
          <w:sz w:val="26"/>
          <w:szCs w:val="27"/>
        </w:rPr>
        <w:t xml:space="preserve"> ya que constituye la única forma en que puede asegurarse al particular</w:t>
      </w:r>
      <w:r>
        <w:rPr>
          <w:rFonts w:ascii="Calibri" w:hAnsi="Calibri"/>
          <w:color w:val="7F7F7F" w:themeColor="text1" w:themeTint="80"/>
          <w:sz w:val="26"/>
          <w:szCs w:val="27"/>
        </w:rPr>
        <w:t>,</w:t>
      </w:r>
      <w:r w:rsidRPr="005376D4">
        <w:rPr>
          <w:rFonts w:ascii="Calibri" w:hAnsi="Calibri"/>
          <w:color w:val="7F7F7F" w:themeColor="text1" w:themeTint="80"/>
          <w:sz w:val="26"/>
          <w:szCs w:val="27"/>
        </w:rPr>
        <w:t xml:space="preserve"> que fue la voluntad de la autoridad </w:t>
      </w:r>
      <w:r>
        <w:rPr>
          <w:rFonts w:ascii="Calibri" w:hAnsi="Calibri"/>
          <w:color w:val="7F7F7F" w:themeColor="text1" w:themeTint="80"/>
          <w:sz w:val="26"/>
          <w:szCs w:val="27"/>
        </w:rPr>
        <w:t xml:space="preserve">correspondiente </w:t>
      </w:r>
      <w:r w:rsidRPr="005376D4">
        <w:rPr>
          <w:rFonts w:ascii="Calibri" w:hAnsi="Calibri"/>
          <w:color w:val="7F7F7F" w:themeColor="text1" w:themeTint="80"/>
          <w:sz w:val="26"/>
          <w:szCs w:val="27"/>
        </w:rPr>
        <w:t xml:space="preserve">emitir dicho acto en los términos a que el mismo se refiere. </w:t>
      </w:r>
      <w:r>
        <w:rPr>
          <w:rFonts w:ascii="Calibri" w:hAnsi="Calibri"/>
          <w:color w:val="7F7F7F" w:themeColor="text1" w:themeTint="80"/>
          <w:sz w:val="26"/>
          <w:szCs w:val="27"/>
        </w:rPr>
        <w:t>. . . . . . . . . . . . . . . . . . . . . . . . . . . . . . . . . . . . . . . . . . . . . . . . . . . .</w:t>
      </w:r>
    </w:p>
    <w:p w:rsidR="00112CDC" w:rsidRPr="000C0E57" w:rsidRDefault="00112CDC" w:rsidP="00112CDC">
      <w:pPr>
        <w:autoSpaceDE w:val="0"/>
        <w:autoSpaceDN w:val="0"/>
        <w:adjustRightInd w:val="0"/>
        <w:ind w:firstLine="708"/>
        <w:jc w:val="both"/>
        <w:rPr>
          <w:rFonts w:ascii="Calibri" w:hAnsi="Calibri"/>
          <w:color w:val="7F7F7F" w:themeColor="text1" w:themeTint="80"/>
          <w:sz w:val="26"/>
          <w:szCs w:val="27"/>
        </w:rPr>
      </w:pPr>
    </w:p>
    <w:p w:rsidR="00112CDC" w:rsidRDefault="00112CDC" w:rsidP="00112CDC">
      <w:pPr>
        <w:autoSpaceDE w:val="0"/>
        <w:autoSpaceDN w:val="0"/>
        <w:adjustRightInd w:val="0"/>
        <w:ind w:firstLine="708"/>
        <w:jc w:val="both"/>
        <w:rPr>
          <w:rFonts w:ascii="Calibri" w:hAnsi="Calibri" w:cs="Arial"/>
          <w:color w:val="7F7F7F" w:themeColor="text1" w:themeTint="80"/>
          <w:sz w:val="26"/>
          <w:szCs w:val="27"/>
        </w:rPr>
      </w:pPr>
      <w:r w:rsidRPr="005376D4">
        <w:rPr>
          <w:rFonts w:ascii="Calibri" w:hAnsi="Calibri"/>
          <w:color w:val="7F7F7F" w:themeColor="text1" w:themeTint="80"/>
          <w:sz w:val="26"/>
          <w:szCs w:val="27"/>
        </w:rPr>
        <w:t xml:space="preserve">Aunado a lo anterior, es sabido conforme a la doctrina jurídica, que </w:t>
      </w:r>
      <w:r w:rsidRPr="005376D4">
        <w:rPr>
          <w:rFonts w:ascii="Calibri" w:hAnsi="Calibri" w:cs="Arial"/>
          <w:color w:val="7F7F7F" w:themeColor="text1" w:themeTint="80"/>
          <w:sz w:val="26"/>
          <w:szCs w:val="27"/>
        </w:rPr>
        <w:t>todo acto de molestia, como lo es el acto impugnado, precisa de la concurrencia indispensable de tres requisitos mínimos, a saber: 1</w:t>
      </w:r>
      <w:proofErr w:type="gramStart"/>
      <w:r w:rsidRPr="005376D4">
        <w:rPr>
          <w:rFonts w:ascii="Calibri" w:hAnsi="Calibri" w:cs="Arial"/>
          <w:color w:val="7F7F7F" w:themeColor="text1" w:themeTint="80"/>
          <w:sz w:val="26"/>
          <w:szCs w:val="27"/>
        </w:rPr>
        <w:t>).-</w:t>
      </w:r>
      <w:proofErr w:type="gramEnd"/>
      <w:r w:rsidRPr="005376D4">
        <w:rPr>
          <w:rFonts w:ascii="Calibri" w:hAnsi="Calibri" w:cs="Arial"/>
          <w:color w:val="7F7F7F" w:themeColor="text1" w:themeTint="80"/>
          <w:sz w:val="26"/>
          <w:szCs w:val="27"/>
        </w:rPr>
        <w:t xml:space="preserve"> Que se exprese por escrito </w:t>
      </w:r>
    </w:p>
    <w:p w:rsidR="00112CDC" w:rsidRDefault="00112CDC" w:rsidP="00112CDC">
      <w:pPr>
        <w:pStyle w:val="Textoindependiente"/>
        <w:ind w:left="1068"/>
        <w:jc w:val="right"/>
        <w:rPr>
          <w:rFonts w:ascii="Calibri" w:hAnsi="Calibri"/>
          <w:b/>
          <w:color w:val="7F7F7F" w:themeColor="text1" w:themeTint="80"/>
          <w:sz w:val="26"/>
          <w:szCs w:val="27"/>
        </w:rPr>
      </w:pPr>
      <w:r>
        <w:rPr>
          <w:rFonts w:ascii="Calibri" w:hAnsi="Calibri"/>
          <w:b/>
          <w:color w:val="7F7F7F" w:themeColor="text1" w:themeTint="80"/>
          <w:sz w:val="26"/>
          <w:szCs w:val="27"/>
        </w:rPr>
        <w:t>Expediente número 618/2013-JN</w:t>
      </w:r>
    </w:p>
    <w:p w:rsidR="00112CDC" w:rsidRDefault="00112CDC" w:rsidP="00112CDC">
      <w:pPr>
        <w:autoSpaceDE w:val="0"/>
        <w:autoSpaceDN w:val="0"/>
        <w:adjustRightInd w:val="0"/>
        <w:ind w:firstLine="708"/>
        <w:jc w:val="both"/>
        <w:rPr>
          <w:rFonts w:ascii="Calibri" w:hAnsi="Calibri" w:cs="Arial"/>
          <w:color w:val="7F7F7F" w:themeColor="text1" w:themeTint="80"/>
          <w:sz w:val="26"/>
          <w:szCs w:val="27"/>
        </w:rPr>
      </w:pPr>
    </w:p>
    <w:p w:rsidR="00112CDC" w:rsidRPr="005376D4" w:rsidRDefault="00112CDC" w:rsidP="00112CDC">
      <w:pPr>
        <w:autoSpaceDE w:val="0"/>
        <w:autoSpaceDN w:val="0"/>
        <w:adjustRightInd w:val="0"/>
        <w:jc w:val="both"/>
        <w:rPr>
          <w:rFonts w:ascii="Calibri" w:hAnsi="Calibri" w:cs="Arial"/>
          <w:color w:val="7F7F7F" w:themeColor="text1" w:themeTint="80"/>
          <w:sz w:val="26"/>
          <w:szCs w:val="27"/>
        </w:rPr>
      </w:pPr>
      <w:r w:rsidRPr="005376D4">
        <w:rPr>
          <w:rFonts w:ascii="Calibri" w:hAnsi="Calibri" w:cs="Arial"/>
          <w:color w:val="7F7F7F" w:themeColor="text1" w:themeTint="80"/>
          <w:sz w:val="26"/>
          <w:szCs w:val="27"/>
        </w:rPr>
        <w:t xml:space="preserve">y contenga </w:t>
      </w:r>
      <w:r w:rsidRPr="005376D4">
        <w:rPr>
          <w:rFonts w:ascii="Calibri" w:hAnsi="Calibri" w:cs="Arial"/>
          <w:color w:val="7F7F7F" w:themeColor="text1" w:themeTint="80"/>
          <w:sz w:val="26"/>
          <w:szCs w:val="27"/>
          <w:u w:val="single"/>
        </w:rPr>
        <w:t>la firma original o autógrafa</w:t>
      </w:r>
      <w:r w:rsidRPr="005376D4">
        <w:rPr>
          <w:rFonts w:ascii="Calibri" w:hAnsi="Calibri" w:cs="Arial"/>
          <w:color w:val="7F7F7F" w:themeColor="text1" w:themeTint="80"/>
          <w:sz w:val="26"/>
          <w:szCs w:val="27"/>
        </w:rPr>
        <w:t xml:space="preserve"> del respectivo funcionario; 2</w:t>
      </w:r>
      <w:proofErr w:type="gramStart"/>
      <w:r w:rsidRPr="005376D4">
        <w:rPr>
          <w:rFonts w:ascii="Calibri" w:hAnsi="Calibri" w:cs="Arial"/>
          <w:color w:val="7F7F7F" w:themeColor="text1" w:themeTint="80"/>
          <w:sz w:val="26"/>
          <w:szCs w:val="27"/>
        </w:rPr>
        <w:t>).-</w:t>
      </w:r>
      <w:proofErr w:type="gramEnd"/>
      <w:r w:rsidRPr="005376D4">
        <w:rPr>
          <w:rFonts w:ascii="Calibri" w:hAnsi="Calibri" w:cs="Arial"/>
          <w:color w:val="7F7F7F" w:themeColor="text1" w:themeTint="80"/>
          <w:sz w:val="26"/>
          <w:szCs w:val="27"/>
        </w:rPr>
        <w:t xml:space="preserve"> Que provenga de autoridad competente; y, 3).- Que en los documentos se exprese, se funde y motive la causa legal del procedimiento; resaltando que la primera de estas exigencias tiene como propósito evidente que pueda haber certeza sobre la existencia del acto de molestia y para que el afectado pueda conocer con precisión de </w:t>
      </w:r>
      <w:r>
        <w:rPr>
          <w:rFonts w:ascii="Calibri" w:hAnsi="Calibri" w:cs="Arial"/>
          <w:color w:val="7F7F7F" w:themeColor="text1" w:themeTint="80"/>
          <w:sz w:val="26"/>
          <w:szCs w:val="27"/>
        </w:rPr>
        <w:t>qué</w:t>
      </w:r>
      <w:r w:rsidRPr="005376D4">
        <w:rPr>
          <w:rFonts w:ascii="Calibri" w:hAnsi="Calibri" w:cs="Arial"/>
          <w:color w:val="7F7F7F" w:themeColor="text1" w:themeTint="80"/>
          <w:sz w:val="26"/>
          <w:szCs w:val="27"/>
        </w:rPr>
        <w:t xml:space="preserve"> autoridad proviene, así como su contenido y sus co</w:t>
      </w:r>
      <w:r>
        <w:rPr>
          <w:rFonts w:ascii="Calibri" w:hAnsi="Calibri" w:cs="Arial"/>
          <w:color w:val="7F7F7F" w:themeColor="text1" w:themeTint="80"/>
          <w:sz w:val="26"/>
          <w:szCs w:val="27"/>
        </w:rPr>
        <w:t xml:space="preserve">nsecuencias. </w:t>
      </w:r>
    </w:p>
    <w:p w:rsidR="00112CDC" w:rsidRPr="00BF7E6E" w:rsidRDefault="00112CDC" w:rsidP="00112CDC">
      <w:pPr>
        <w:pStyle w:val="Textoindependiente"/>
        <w:rPr>
          <w:rFonts w:ascii="Calibri" w:hAnsi="Calibri"/>
          <w:color w:val="7F7F7F" w:themeColor="text1" w:themeTint="80"/>
          <w:sz w:val="22"/>
          <w:szCs w:val="27"/>
          <w:lang w:val="es-ES"/>
        </w:rPr>
      </w:pPr>
    </w:p>
    <w:p w:rsidR="00112CDC" w:rsidRPr="005376D4" w:rsidRDefault="00112CDC" w:rsidP="00112CDC">
      <w:pPr>
        <w:pStyle w:val="Textoindependiente"/>
        <w:ind w:firstLine="708"/>
        <w:rPr>
          <w:rFonts w:ascii="Calibri" w:hAnsi="Calibri"/>
          <w:color w:val="7F7F7F" w:themeColor="text1" w:themeTint="80"/>
          <w:sz w:val="26"/>
          <w:szCs w:val="27"/>
        </w:rPr>
      </w:pPr>
      <w:r w:rsidRPr="005376D4">
        <w:rPr>
          <w:rFonts w:ascii="Calibri" w:hAnsi="Calibri"/>
          <w:color w:val="7F7F7F" w:themeColor="text1" w:themeTint="80"/>
          <w:sz w:val="26"/>
          <w:szCs w:val="27"/>
        </w:rPr>
        <w:t>Al caso resultan aplicables, por analogía, las siguientes Jurisprudencias emitidas,</w:t>
      </w:r>
      <w:r>
        <w:rPr>
          <w:rFonts w:ascii="Calibri" w:hAnsi="Calibri"/>
          <w:color w:val="7F7F7F" w:themeColor="text1" w:themeTint="80"/>
          <w:sz w:val="26"/>
          <w:szCs w:val="27"/>
        </w:rPr>
        <w:t xml:space="preserve"> </w:t>
      </w:r>
      <w:r w:rsidRPr="005376D4">
        <w:rPr>
          <w:rFonts w:ascii="Calibri" w:hAnsi="Calibri"/>
          <w:color w:val="7F7F7F" w:themeColor="text1" w:themeTint="80"/>
          <w:sz w:val="26"/>
          <w:szCs w:val="27"/>
        </w:rPr>
        <w:t xml:space="preserve">respectivamente por la Suprema Corte de Justicia de la Nación y un Tribunal Colegiado del Poder Judicial de la Federación, que se mencionan a continuación: . . . . . . . . . . . . . . . . . . . . . . . . . . . . . . . . . . . . . . . . . . . . . . . . . . . . . . . . . </w:t>
      </w:r>
    </w:p>
    <w:p w:rsidR="00112CDC" w:rsidRPr="005376D4" w:rsidRDefault="00112CDC" w:rsidP="00112CDC">
      <w:pPr>
        <w:pStyle w:val="Textoindependiente"/>
        <w:rPr>
          <w:rFonts w:ascii="Calibri" w:hAnsi="Calibri"/>
          <w:color w:val="7F7F7F" w:themeColor="text1" w:themeTint="80"/>
          <w:sz w:val="22"/>
          <w:szCs w:val="27"/>
        </w:rPr>
      </w:pPr>
    </w:p>
    <w:p w:rsidR="00112CDC" w:rsidRPr="005376D4" w:rsidRDefault="00112CDC" w:rsidP="00112CDC">
      <w:pPr>
        <w:pStyle w:val="Textoindependiente"/>
        <w:ind w:firstLine="708"/>
        <w:rPr>
          <w:rFonts w:ascii="Calibri" w:hAnsi="Calibri"/>
          <w:i/>
          <w:iCs/>
          <w:color w:val="7F7F7F" w:themeColor="text1" w:themeTint="80"/>
          <w:sz w:val="26"/>
          <w:szCs w:val="27"/>
        </w:rPr>
      </w:pPr>
      <w:r w:rsidRPr="005376D4">
        <w:rPr>
          <w:rFonts w:ascii="Calibri" w:hAnsi="Calibri"/>
          <w:i/>
          <w:iCs/>
          <w:color w:val="7F7F7F" w:themeColor="text1" w:themeTint="80"/>
          <w:sz w:val="26"/>
          <w:szCs w:val="27"/>
        </w:rPr>
        <w:t>"</w:t>
      </w:r>
      <w:r w:rsidRPr="005376D4">
        <w:rPr>
          <w:rFonts w:ascii="Calibri" w:hAnsi="Calibri"/>
          <w:b/>
          <w:bCs/>
          <w:i/>
          <w:iCs/>
          <w:color w:val="7F7F7F" w:themeColor="text1" w:themeTint="80"/>
          <w:sz w:val="26"/>
          <w:szCs w:val="27"/>
        </w:rPr>
        <w:t>FIRMA FACSIMILAR. DOCUMENTOS PARA LA NOTIFICACION DE CREDITOS FISCALES.</w:t>
      </w:r>
      <w:r w:rsidRPr="005376D4">
        <w:rPr>
          <w:rFonts w:ascii="Calibri" w:hAnsi="Calibri"/>
          <w:i/>
          <w:iCs/>
          <w:color w:val="7F7F7F" w:themeColor="text1" w:themeTint="80"/>
          <w:sz w:val="26"/>
          <w:szCs w:val="27"/>
        </w:rPr>
        <w:t xml:space="preserve"> Esta Segunda Sala de la Suprema Corte de Justicia de la Nación ha establecido reiteradamente el criterio de que de conformidad con lo dispuesto por los artículos 14 y 16 de la Constitución General de la República, para que un mandamiento de autoridad esté fundado y motivado, debe constar en el documento la </w:t>
      </w:r>
      <w:r w:rsidRPr="005376D4">
        <w:rPr>
          <w:rFonts w:ascii="Calibri" w:hAnsi="Calibri"/>
          <w:b/>
          <w:bCs/>
          <w:i/>
          <w:iCs/>
          <w:color w:val="7F7F7F" w:themeColor="text1" w:themeTint="80"/>
          <w:sz w:val="26"/>
          <w:szCs w:val="27"/>
        </w:rPr>
        <w:t>firma</w:t>
      </w:r>
      <w:r w:rsidRPr="005376D4">
        <w:rPr>
          <w:rFonts w:ascii="Calibri" w:hAnsi="Calibri"/>
          <w:i/>
          <w:iCs/>
          <w:color w:val="7F7F7F" w:themeColor="text1" w:themeTint="80"/>
          <w:sz w:val="26"/>
          <w:szCs w:val="27"/>
        </w:rPr>
        <w:t xml:space="preserve"> autógrafa del servidor público que lo expida y no un facsímil, por consiguiente, tratándose de un cobro fiscal, el documento que se entregue al causante para efectos de notificación debe contener la </w:t>
      </w:r>
      <w:r w:rsidRPr="005376D4">
        <w:rPr>
          <w:rFonts w:ascii="Calibri" w:hAnsi="Calibri"/>
          <w:b/>
          <w:bCs/>
          <w:i/>
          <w:iCs/>
          <w:color w:val="7F7F7F" w:themeColor="text1" w:themeTint="80"/>
          <w:sz w:val="26"/>
          <w:szCs w:val="27"/>
        </w:rPr>
        <w:t>firma</w:t>
      </w:r>
      <w:r w:rsidRPr="005376D4">
        <w:rPr>
          <w:rFonts w:ascii="Calibri" w:hAnsi="Calibri"/>
          <w:i/>
          <w:iCs/>
          <w:color w:val="7F7F7F" w:themeColor="text1" w:themeTint="80"/>
          <w:sz w:val="26"/>
          <w:szCs w:val="27"/>
        </w:rPr>
        <w:t xml:space="preserve"> autógrafa, ya que ésta es un signo gráfico que da validez a los actos de autoridad, razón por la cual debe estimarse que no es válida la </w:t>
      </w:r>
      <w:r w:rsidRPr="005376D4">
        <w:rPr>
          <w:rFonts w:ascii="Calibri" w:hAnsi="Calibri"/>
          <w:b/>
          <w:bCs/>
          <w:i/>
          <w:iCs/>
          <w:color w:val="7F7F7F" w:themeColor="text1" w:themeTint="80"/>
          <w:sz w:val="26"/>
          <w:szCs w:val="27"/>
        </w:rPr>
        <w:t>firma</w:t>
      </w:r>
      <w:r>
        <w:rPr>
          <w:rFonts w:ascii="Calibri" w:hAnsi="Calibri"/>
          <w:b/>
          <w:bCs/>
          <w:i/>
          <w:iCs/>
          <w:color w:val="7F7F7F" w:themeColor="text1" w:themeTint="80"/>
          <w:sz w:val="26"/>
          <w:szCs w:val="27"/>
        </w:rPr>
        <w:t xml:space="preserve"> </w:t>
      </w:r>
      <w:r w:rsidRPr="005376D4">
        <w:rPr>
          <w:rFonts w:ascii="Calibri" w:hAnsi="Calibri"/>
          <w:b/>
          <w:bCs/>
          <w:i/>
          <w:iCs/>
          <w:color w:val="7F7F7F" w:themeColor="text1" w:themeTint="80"/>
          <w:sz w:val="26"/>
          <w:szCs w:val="27"/>
        </w:rPr>
        <w:t>facsimilar</w:t>
      </w:r>
      <w:r w:rsidRPr="005376D4">
        <w:rPr>
          <w:rFonts w:ascii="Calibri" w:hAnsi="Calibri"/>
          <w:i/>
          <w:iCs/>
          <w:color w:val="7F7F7F" w:themeColor="text1" w:themeTint="80"/>
          <w:sz w:val="26"/>
          <w:szCs w:val="27"/>
        </w:rPr>
        <w:t xml:space="preserve"> que ostente el referido mandamiento de autoridad." </w:t>
      </w:r>
      <w:r w:rsidRPr="005376D4">
        <w:rPr>
          <w:rFonts w:ascii="Calibri" w:hAnsi="Calibri"/>
          <w:color w:val="7F7F7F" w:themeColor="text1" w:themeTint="80"/>
          <w:sz w:val="22"/>
          <w:szCs w:val="27"/>
        </w:rPr>
        <w:t xml:space="preserve">Contradicción de tesis. Varios 16/90. Entre las sustentadas por el Primero y Segundo Tribunales Colegiados del Sexto Circuito. 21 de noviembre de 1991. Mayoría de 4 votos. Disidente: Carlos de Silva Nava. Ponente: Fausta Moreno Flores. Secretario: Víctor Hugo Mendoza Sánchez. Registro No. 206419. </w:t>
      </w:r>
      <w:r w:rsidRPr="005376D4">
        <w:rPr>
          <w:rFonts w:ascii="Calibri" w:hAnsi="Calibri"/>
          <w:b/>
          <w:bCs/>
          <w:color w:val="7F7F7F" w:themeColor="text1" w:themeTint="80"/>
          <w:sz w:val="22"/>
          <w:szCs w:val="27"/>
        </w:rPr>
        <w:t>Localización</w:t>
      </w:r>
      <w:proofErr w:type="gramStart"/>
      <w:r w:rsidRPr="005376D4">
        <w:rPr>
          <w:rFonts w:ascii="Calibri" w:hAnsi="Calibri"/>
          <w:b/>
          <w:bCs/>
          <w:color w:val="7F7F7F" w:themeColor="text1" w:themeTint="80"/>
          <w:sz w:val="22"/>
          <w:szCs w:val="27"/>
        </w:rPr>
        <w:t>:</w:t>
      </w:r>
      <w:r w:rsidRPr="005376D4">
        <w:rPr>
          <w:rFonts w:ascii="Calibri" w:hAnsi="Calibri"/>
          <w:color w:val="7F7F7F" w:themeColor="text1" w:themeTint="80"/>
          <w:sz w:val="22"/>
          <w:szCs w:val="27"/>
        </w:rPr>
        <w:t xml:space="preserve"> .</w:t>
      </w:r>
      <w:proofErr w:type="gramEnd"/>
      <w:r w:rsidRPr="005376D4">
        <w:rPr>
          <w:rFonts w:ascii="Calibri" w:hAnsi="Calibri"/>
          <w:color w:val="7F7F7F" w:themeColor="text1" w:themeTint="80"/>
          <w:sz w:val="22"/>
          <w:szCs w:val="27"/>
        </w:rPr>
        <w:t xml:space="preserve"> Octava Época. Instancia: Segunda Sala. Fuente: Gaceta del Semanario Judicial de la Federación. 56, </w:t>
      </w:r>
      <w:proofErr w:type="gramStart"/>
      <w:r w:rsidRPr="005376D4">
        <w:rPr>
          <w:rFonts w:ascii="Calibri" w:hAnsi="Calibri"/>
          <w:color w:val="7F7F7F" w:themeColor="text1" w:themeTint="80"/>
          <w:sz w:val="22"/>
          <w:szCs w:val="27"/>
        </w:rPr>
        <w:t>Agosto</w:t>
      </w:r>
      <w:proofErr w:type="gramEnd"/>
      <w:r w:rsidRPr="005376D4">
        <w:rPr>
          <w:rFonts w:ascii="Calibri" w:hAnsi="Calibri"/>
          <w:color w:val="7F7F7F" w:themeColor="text1" w:themeTint="80"/>
          <w:sz w:val="22"/>
          <w:szCs w:val="27"/>
        </w:rPr>
        <w:t xml:space="preserve"> de 1992. Página: 15. Tesis: 2a./J 2/92 Jurisprudencia Materia(s): Administrativa</w:t>
      </w:r>
      <w:proofErr w:type="gramStart"/>
      <w:r w:rsidRPr="005376D4">
        <w:rPr>
          <w:rFonts w:ascii="Calibri" w:hAnsi="Calibri"/>
          <w:color w:val="7F7F7F" w:themeColor="text1" w:themeTint="80"/>
          <w:sz w:val="26"/>
          <w:szCs w:val="27"/>
        </w:rPr>
        <w:t>. . . .</w:t>
      </w:r>
      <w:proofErr w:type="gramEnd"/>
      <w:r w:rsidRPr="005376D4">
        <w:rPr>
          <w:rFonts w:ascii="Calibri" w:hAnsi="Calibri"/>
          <w:color w:val="7F7F7F" w:themeColor="text1" w:themeTint="80"/>
          <w:sz w:val="26"/>
          <w:szCs w:val="27"/>
        </w:rPr>
        <w:t xml:space="preserve"> </w:t>
      </w:r>
      <w:r>
        <w:rPr>
          <w:rFonts w:ascii="Calibri" w:hAnsi="Calibri"/>
          <w:color w:val="7F7F7F" w:themeColor="text1" w:themeTint="80"/>
          <w:sz w:val="26"/>
          <w:szCs w:val="27"/>
        </w:rPr>
        <w:t xml:space="preserve">. </w:t>
      </w:r>
    </w:p>
    <w:p w:rsidR="00112CDC" w:rsidRPr="005376D4" w:rsidRDefault="00112CDC" w:rsidP="00112CDC">
      <w:pPr>
        <w:pStyle w:val="Textoindependiente"/>
        <w:rPr>
          <w:rFonts w:ascii="Calibri" w:hAnsi="Calibri"/>
          <w:color w:val="7F7F7F" w:themeColor="text1" w:themeTint="80"/>
          <w:sz w:val="22"/>
          <w:szCs w:val="27"/>
        </w:rPr>
      </w:pPr>
    </w:p>
    <w:p w:rsidR="00112CDC" w:rsidRDefault="00112CDC" w:rsidP="00112CDC">
      <w:pPr>
        <w:pStyle w:val="Textoindependiente"/>
        <w:ind w:firstLine="708"/>
        <w:rPr>
          <w:rFonts w:ascii="Calibri" w:hAnsi="Calibri"/>
          <w:i/>
          <w:iCs/>
          <w:color w:val="7F7F7F" w:themeColor="text1" w:themeTint="80"/>
          <w:sz w:val="26"/>
          <w:szCs w:val="27"/>
        </w:rPr>
      </w:pPr>
      <w:r w:rsidRPr="005376D4">
        <w:rPr>
          <w:rFonts w:ascii="Calibri" w:hAnsi="Calibri"/>
          <w:b/>
          <w:bCs/>
          <w:i/>
          <w:iCs/>
          <w:color w:val="7F7F7F" w:themeColor="text1" w:themeTint="80"/>
          <w:sz w:val="26"/>
          <w:szCs w:val="27"/>
        </w:rPr>
        <w:t xml:space="preserve">"FIRMA AUTOGRAFA DE LA AUTORIDAD RESPONSABLE, SU OMISION IMPIDE OTORGAR VALIDEZ AL ACTO. </w:t>
      </w:r>
      <w:r w:rsidRPr="005376D4">
        <w:rPr>
          <w:rFonts w:ascii="Calibri" w:hAnsi="Calibri"/>
          <w:i/>
          <w:iCs/>
          <w:color w:val="7F7F7F" w:themeColor="text1" w:themeTint="80"/>
          <w:sz w:val="26"/>
          <w:szCs w:val="27"/>
        </w:rPr>
        <w:t xml:space="preserve">Una resolución determinante de un crédito </w:t>
      </w:r>
    </w:p>
    <w:p w:rsidR="00112CDC" w:rsidRPr="00D21929" w:rsidRDefault="00112CDC" w:rsidP="00112CDC">
      <w:pPr>
        <w:pStyle w:val="Textoindependiente"/>
        <w:rPr>
          <w:rFonts w:ascii="Calibri" w:hAnsi="Calibri"/>
          <w:i/>
          <w:iCs/>
          <w:color w:val="7F7F7F" w:themeColor="text1" w:themeTint="80"/>
          <w:sz w:val="26"/>
          <w:szCs w:val="27"/>
        </w:rPr>
      </w:pPr>
      <w:r w:rsidRPr="005376D4">
        <w:rPr>
          <w:rFonts w:ascii="Calibri" w:hAnsi="Calibri"/>
          <w:i/>
          <w:iCs/>
          <w:color w:val="7F7F7F" w:themeColor="text1" w:themeTint="80"/>
          <w:sz w:val="26"/>
          <w:szCs w:val="27"/>
        </w:rPr>
        <w:t xml:space="preserve">fiscal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w:t>
      </w:r>
      <w:proofErr w:type="spellStart"/>
      <w:r w:rsidRPr="005376D4">
        <w:rPr>
          <w:rFonts w:ascii="Calibri" w:hAnsi="Calibri"/>
          <w:i/>
          <w:iCs/>
          <w:color w:val="7F7F7F" w:themeColor="text1" w:themeTint="80"/>
          <w:sz w:val="26"/>
          <w:szCs w:val="27"/>
        </w:rPr>
        <w:t>signante</w:t>
      </w:r>
      <w:proofErr w:type="spellEnd"/>
      <w:r w:rsidRPr="005376D4">
        <w:rPr>
          <w:rFonts w:ascii="Calibri" w:hAnsi="Calibri"/>
          <w:i/>
          <w:iCs/>
          <w:color w:val="7F7F7F" w:themeColor="text1" w:themeTint="80"/>
          <w:sz w:val="26"/>
          <w:szCs w:val="27"/>
        </w:rPr>
        <w:t xml:space="preserve"> y la falta de este signo gráfico impide otorgar 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 </w:t>
      </w:r>
      <w:r w:rsidRPr="005376D4">
        <w:rPr>
          <w:rFonts w:ascii="Calibri" w:hAnsi="Calibri"/>
          <w:color w:val="7F7F7F" w:themeColor="text1" w:themeTint="80"/>
          <w:sz w:val="22"/>
          <w:szCs w:val="27"/>
        </w:rPr>
        <w:t xml:space="preserve">SEXTO TRIBUNAL COLEGIADO EN MATERIA ADMINISTRATIVA DEL PRIMER CIRCUITO. No. Registro: 224,795. Jurisprudencia. Materia(s): Administrativa. Octava Época. Instancia: Tribunales Colegiados de Circuito. Fuente: Semanario Judicial de la Federación. Tomo: VI, Segunda Parte-1, Julio a </w:t>
      </w:r>
      <w:proofErr w:type="gramStart"/>
      <w:r w:rsidRPr="005376D4">
        <w:rPr>
          <w:rFonts w:ascii="Calibri" w:hAnsi="Calibri"/>
          <w:color w:val="7F7F7F" w:themeColor="text1" w:themeTint="80"/>
          <w:sz w:val="22"/>
          <w:szCs w:val="27"/>
        </w:rPr>
        <w:t>Diciembre</w:t>
      </w:r>
      <w:proofErr w:type="gramEnd"/>
      <w:r w:rsidRPr="005376D4">
        <w:rPr>
          <w:rFonts w:ascii="Calibri" w:hAnsi="Calibri"/>
          <w:color w:val="7F7F7F" w:themeColor="text1" w:themeTint="80"/>
          <w:sz w:val="22"/>
          <w:szCs w:val="27"/>
        </w:rPr>
        <w:t xml:space="preserve"> de 1990. Tesis: I.6o.A. J/22. Página: 356. </w:t>
      </w:r>
      <w:proofErr w:type="gramStart"/>
      <w:r w:rsidRPr="005376D4">
        <w:rPr>
          <w:rFonts w:ascii="Calibri" w:hAnsi="Calibri"/>
          <w:color w:val="7F7F7F" w:themeColor="text1" w:themeTint="80"/>
          <w:sz w:val="22"/>
          <w:szCs w:val="27"/>
        </w:rPr>
        <w:t>Genealogía:.</w:t>
      </w:r>
      <w:proofErr w:type="gramEnd"/>
      <w:r w:rsidRPr="005376D4">
        <w:rPr>
          <w:rFonts w:ascii="Calibri" w:hAnsi="Calibri"/>
          <w:color w:val="7F7F7F" w:themeColor="text1" w:themeTint="80"/>
          <w:sz w:val="22"/>
          <w:szCs w:val="27"/>
        </w:rPr>
        <w:t xml:space="preserve"> Gaceta número 34, Octubre de 1990, página </w:t>
      </w:r>
      <w:proofErr w:type="gramStart"/>
      <w:r w:rsidRPr="005376D4">
        <w:rPr>
          <w:rFonts w:ascii="Calibri" w:hAnsi="Calibri"/>
          <w:color w:val="7F7F7F" w:themeColor="text1" w:themeTint="80"/>
          <w:sz w:val="22"/>
          <w:szCs w:val="27"/>
        </w:rPr>
        <w:t>75</w:t>
      </w:r>
      <w:r w:rsidRPr="005376D4">
        <w:rPr>
          <w:rFonts w:ascii="Calibri" w:hAnsi="Calibri"/>
          <w:color w:val="7F7F7F" w:themeColor="text1" w:themeTint="80"/>
          <w:sz w:val="26"/>
          <w:szCs w:val="27"/>
        </w:rPr>
        <w:t>”. . .</w:t>
      </w:r>
      <w:proofErr w:type="gramEnd"/>
      <w:r w:rsidRPr="005376D4">
        <w:rPr>
          <w:rFonts w:ascii="Calibri" w:hAnsi="Calibri"/>
          <w:color w:val="7F7F7F" w:themeColor="text1" w:themeTint="80"/>
          <w:sz w:val="26"/>
          <w:szCs w:val="27"/>
        </w:rPr>
        <w:t xml:space="preserve"> . . . . . . . . . . . . . . . . . . . . . </w:t>
      </w:r>
      <w:r>
        <w:rPr>
          <w:rFonts w:ascii="Calibri" w:hAnsi="Calibri"/>
          <w:color w:val="7F7F7F" w:themeColor="text1" w:themeTint="80"/>
          <w:sz w:val="26"/>
          <w:szCs w:val="27"/>
        </w:rPr>
        <w:t xml:space="preserve">. . . . . . . . . . </w:t>
      </w:r>
    </w:p>
    <w:p w:rsidR="00112CDC" w:rsidRPr="005376D4" w:rsidRDefault="00112CDC" w:rsidP="00112CDC">
      <w:pPr>
        <w:pStyle w:val="Textoindependiente"/>
        <w:rPr>
          <w:rFonts w:ascii="Calibri" w:hAnsi="Calibri" w:cs="Arial"/>
          <w:color w:val="7F7F7F" w:themeColor="text1" w:themeTint="80"/>
          <w:sz w:val="22"/>
          <w:szCs w:val="27"/>
        </w:rPr>
      </w:pPr>
    </w:p>
    <w:p w:rsidR="00112CDC" w:rsidRDefault="00112CDC" w:rsidP="00112CDC">
      <w:pPr>
        <w:pStyle w:val="Textoindependiente"/>
        <w:rPr>
          <w:rFonts w:ascii="Calibri" w:hAnsi="Calibri" w:cs="Arial"/>
          <w:color w:val="7F7F7F" w:themeColor="text1" w:themeTint="80"/>
          <w:sz w:val="26"/>
          <w:szCs w:val="27"/>
        </w:rPr>
      </w:pPr>
      <w:r w:rsidRPr="005376D4">
        <w:rPr>
          <w:rFonts w:ascii="Calibri" w:hAnsi="Calibri" w:cs="Arial"/>
          <w:color w:val="7F7F7F" w:themeColor="text1" w:themeTint="80"/>
          <w:sz w:val="26"/>
          <w:szCs w:val="27"/>
        </w:rPr>
        <w:tab/>
      </w:r>
      <w:r w:rsidRPr="005376D4">
        <w:rPr>
          <w:rFonts w:ascii="Calibri" w:hAnsi="Calibri"/>
          <w:color w:val="7F7F7F" w:themeColor="text1" w:themeTint="80"/>
          <w:sz w:val="26"/>
          <w:szCs w:val="27"/>
        </w:rPr>
        <w:t xml:space="preserve">Por lo anterior, al haberse omitido la firma autógrafa o electrónica de la autoridad emisora del documento impugnado, en este caso, del Director de Ejecución; se incurre en la causal de nulidad prevista en la fracción II del artículo 302 del Código de Procedimiento y Justicia Administrativa para el Estado y los Municipios de Guanajuato; por lo que </w:t>
      </w:r>
      <w:r w:rsidRPr="005376D4">
        <w:rPr>
          <w:rFonts w:ascii="Calibri" w:hAnsi="Calibri"/>
          <w:bCs/>
          <w:color w:val="7F7F7F" w:themeColor="text1" w:themeTint="80"/>
          <w:sz w:val="26"/>
          <w:szCs w:val="27"/>
        </w:rPr>
        <w:t xml:space="preserve">el </w:t>
      </w:r>
      <w:r>
        <w:rPr>
          <w:rFonts w:ascii="Calibri" w:hAnsi="Calibri"/>
          <w:bCs/>
          <w:color w:val="7F7F7F" w:themeColor="text1" w:themeTint="80"/>
          <w:sz w:val="26"/>
          <w:szCs w:val="27"/>
        </w:rPr>
        <w:t xml:space="preserve">requerimiento de pago </w:t>
      </w:r>
      <w:r w:rsidRPr="005376D4">
        <w:rPr>
          <w:rFonts w:ascii="Calibri" w:hAnsi="Calibri"/>
          <w:bCs/>
          <w:color w:val="7F7F7F" w:themeColor="text1" w:themeTint="80"/>
          <w:sz w:val="26"/>
          <w:szCs w:val="27"/>
        </w:rPr>
        <w:t>del impuesto</w:t>
      </w:r>
      <w:r>
        <w:rPr>
          <w:rFonts w:ascii="Calibri" w:hAnsi="Calibri"/>
          <w:bCs/>
          <w:color w:val="7F7F7F" w:themeColor="text1" w:themeTint="80"/>
          <w:sz w:val="26"/>
          <w:szCs w:val="27"/>
        </w:rPr>
        <w:t xml:space="preserve"> predial, </w:t>
      </w:r>
      <w:r w:rsidRPr="005376D4">
        <w:rPr>
          <w:rFonts w:ascii="Calibri" w:hAnsi="Calibri"/>
          <w:bCs/>
          <w:color w:val="7F7F7F" w:themeColor="text1" w:themeTint="80"/>
          <w:sz w:val="26"/>
          <w:szCs w:val="27"/>
        </w:rPr>
        <w:t>identificado co</w:t>
      </w:r>
      <w:r>
        <w:rPr>
          <w:rFonts w:ascii="Calibri" w:hAnsi="Calibri"/>
          <w:bCs/>
          <w:color w:val="7F7F7F" w:themeColor="text1" w:themeTint="80"/>
          <w:sz w:val="26"/>
          <w:szCs w:val="27"/>
        </w:rPr>
        <w:t>n el número PR-2013-00471907</w:t>
      </w:r>
      <w:r w:rsidRPr="005376D4">
        <w:rPr>
          <w:rFonts w:ascii="Calibri" w:hAnsi="Calibri"/>
          <w:bCs/>
          <w:color w:val="7F7F7F" w:themeColor="text1" w:themeTint="80"/>
          <w:sz w:val="26"/>
          <w:szCs w:val="27"/>
        </w:rPr>
        <w:t xml:space="preserve">, emitido el </w:t>
      </w:r>
      <w:r>
        <w:rPr>
          <w:rFonts w:ascii="Calibri" w:hAnsi="Calibri"/>
          <w:bCs/>
          <w:color w:val="7F7F7F" w:themeColor="text1" w:themeTint="80"/>
          <w:sz w:val="26"/>
          <w:szCs w:val="27"/>
        </w:rPr>
        <w:t>día 18  dieciocho de julio del año 2013 dos mil trece</w:t>
      </w:r>
      <w:r w:rsidRPr="005376D4">
        <w:rPr>
          <w:rFonts w:ascii="Calibri" w:hAnsi="Calibri"/>
          <w:bCs/>
          <w:color w:val="7F7F7F" w:themeColor="text1" w:themeTint="80"/>
          <w:sz w:val="26"/>
          <w:szCs w:val="27"/>
        </w:rPr>
        <w:t>,</w:t>
      </w:r>
      <w:r>
        <w:rPr>
          <w:rFonts w:ascii="Calibri" w:hAnsi="Calibri"/>
          <w:bCs/>
          <w:color w:val="7F7F7F" w:themeColor="text1" w:themeTint="80"/>
          <w:sz w:val="26"/>
          <w:szCs w:val="27"/>
        </w:rPr>
        <w:t xml:space="preserve"> </w:t>
      </w:r>
      <w:r w:rsidRPr="005376D4">
        <w:rPr>
          <w:rFonts w:ascii="Calibri" w:hAnsi="Calibri"/>
          <w:color w:val="7F7F7F" w:themeColor="text1" w:themeTint="80"/>
          <w:sz w:val="26"/>
          <w:szCs w:val="26"/>
        </w:rPr>
        <w:t>por la cantidad de $</w:t>
      </w:r>
      <w:r>
        <w:rPr>
          <w:rFonts w:ascii="Calibri" w:hAnsi="Calibri"/>
          <w:color w:val="7F7F7F" w:themeColor="text1" w:themeTint="80"/>
          <w:sz w:val="26"/>
          <w:szCs w:val="26"/>
        </w:rPr>
        <w:t>2,265.49</w:t>
      </w:r>
      <w:r w:rsidRPr="005376D4">
        <w:rPr>
          <w:rFonts w:ascii="Calibri" w:hAnsi="Calibri"/>
          <w:color w:val="7F7F7F" w:themeColor="text1" w:themeTint="80"/>
          <w:sz w:val="26"/>
          <w:szCs w:val="26"/>
        </w:rPr>
        <w:t xml:space="preserve"> (</w:t>
      </w:r>
      <w:r>
        <w:rPr>
          <w:rFonts w:ascii="Calibri" w:hAnsi="Calibri"/>
          <w:color w:val="7F7F7F" w:themeColor="text1" w:themeTint="80"/>
          <w:sz w:val="26"/>
          <w:szCs w:val="26"/>
        </w:rPr>
        <w:t>Dos mil dos</w:t>
      </w:r>
      <w:r w:rsidRPr="005376D4">
        <w:rPr>
          <w:rFonts w:ascii="Calibri" w:hAnsi="Calibri"/>
          <w:color w:val="7F7F7F" w:themeColor="text1" w:themeTint="80"/>
          <w:sz w:val="26"/>
          <w:szCs w:val="26"/>
        </w:rPr>
        <w:t>ciento</w:t>
      </w:r>
      <w:r>
        <w:rPr>
          <w:rFonts w:ascii="Calibri" w:hAnsi="Calibri"/>
          <w:color w:val="7F7F7F" w:themeColor="text1" w:themeTint="80"/>
          <w:sz w:val="26"/>
          <w:szCs w:val="26"/>
        </w:rPr>
        <w:t>s</w:t>
      </w:r>
      <w:r w:rsidRPr="005376D4">
        <w:rPr>
          <w:rFonts w:ascii="Calibri" w:hAnsi="Calibri"/>
          <w:color w:val="7F7F7F" w:themeColor="text1" w:themeTint="80"/>
          <w:sz w:val="26"/>
          <w:szCs w:val="26"/>
        </w:rPr>
        <w:t xml:space="preserve"> </w:t>
      </w:r>
      <w:r>
        <w:rPr>
          <w:rFonts w:ascii="Calibri" w:hAnsi="Calibri"/>
          <w:color w:val="7F7F7F" w:themeColor="text1" w:themeTint="80"/>
          <w:sz w:val="26"/>
          <w:szCs w:val="26"/>
        </w:rPr>
        <w:t>sesenta y cinco pesos 49</w:t>
      </w:r>
      <w:r w:rsidRPr="005376D4">
        <w:rPr>
          <w:rFonts w:ascii="Calibri" w:hAnsi="Calibri"/>
          <w:color w:val="7F7F7F" w:themeColor="text1" w:themeTint="80"/>
          <w:sz w:val="26"/>
          <w:szCs w:val="26"/>
        </w:rPr>
        <w:t xml:space="preserve">/100 Moneda Nacional), </w:t>
      </w:r>
      <w:r>
        <w:rPr>
          <w:rFonts w:ascii="Calibri" w:hAnsi="Calibri"/>
          <w:color w:val="7F7F7F" w:themeColor="text1" w:themeTint="80"/>
          <w:sz w:val="26"/>
          <w:szCs w:val="26"/>
        </w:rPr>
        <w:t>e</w:t>
      </w:r>
      <w:r w:rsidRPr="005376D4">
        <w:rPr>
          <w:rFonts w:ascii="Calibri" w:hAnsi="Calibri"/>
          <w:color w:val="7F7F7F" w:themeColor="text1" w:themeTint="80"/>
          <w:sz w:val="26"/>
          <w:szCs w:val="27"/>
        </w:rPr>
        <w:t>s</w:t>
      </w:r>
      <w:r>
        <w:rPr>
          <w:rFonts w:ascii="Calibri" w:hAnsi="Calibri"/>
          <w:color w:val="7F7F7F" w:themeColor="text1" w:themeTint="80"/>
          <w:sz w:val="26"/>
          <w:szCs w:val="27"/>
        </w:rPr>
        <w:t xml:space="preserve"> </w:t>
      </w:r>
      <w:r w:rsidRPr="005376D4">
        <w:rPr>
          <w:rFonts w:ascii="Calibri" w:hAnsi="Calibri"/>
          <w:bCs/>
          <w:iCs/>
          <w:color w:val="7F7F7F" w:themeColor="text1" w:themeTint="80"/>
          <w:sz w:val="26"/>
          <w:szCs w:val="27"/>
        </w:rPr>
        <w:t xml:space="preserve">ilegal; </w:t>
      </w:r>
      <w:r w:rsidRPr="005376D4">
        <w:rPr>
          <w:rFonts w:ascii="Calibri" w:hAnsi="Calibri"/>
          <w:color w:val="7F7F7F" w:themeColor="text1" w:themeTint="80"/>
          <w:sz w:val="26"/>
          <w:szCs w:val="27"/>
        </w:rPr>
        <w:t xml:space="preserve">y, en consecuencia, debe decretarse su </w:t>
      </w:r>
      <w:r w:rsidRPr="005376D4">
        <w:rPr>
          <w:rFonts w:ascii="Calibri" w:hAnsi="Calibri"/>
          <w:b/>
          <w:bCs/>
          <w:color w:val="7F7F7F" w:themeColor="text1" w:themeTint="80"/>
          <w:sz w:val="26"/>
          <w:szCs w:val="27"/>
        </w:rPr>
        <w:t>n</w:t>
      </w:r>
      <w:r w:rsidRPr="005376D4">
        <w:rPr>
          <w:rFonts w:ascii="Calibri" w:hAnsi="Calibri"/>
          <w:b/>
          <w:bCs/>
          <w:iCs/>
          <w:color w:val="7F7F7F" w:themeColor="text1" w:themeTint="80"/>
          <w:sz w:val="26"/>
          <w:szCs w:val="27"/>
        </w:rPr>
        <w:t>ulidad total</w:t>
      </w:r>
      <w:r w:rsidRPr="005376D4">
        <w:rPr>
          <w:rFonts w:ascii="Calibri" w:hAnsi="Calibri" w:cs="Arial"/>
          <w:color w:val="7F7F7F" w:themeColor="text1" w:themeTint="80"/>
          <w:sz w:val="26"/>
          <w:szCs w:val="27"/>
        </w:rPr>
        <w:t xml:space="preserve">. . . . . . . . . </w:t>
      </w:r>
      <w:r>
        <w:rPr>
          <w:rFonts w:ascii="Calibri" w:hAnsi="Calibri" w:cs="Arial"/>
          <w:color w:val="7F7F7F" w:themeColor="text1" w:themeTint="80"/>
          <w:sz w:val="26"/>
          <w:szCs w:val="27"/>
        </w:rPr>
        <w:t xml:space="preserve">. . . . . . . . . . . . . . . . . . . . </w:t>
      </w:r>
    </w:p>
    <w:p w:rsidR="00112CDC" w:rsidRDefault="00112CDC" w:rsidP="00112CDC">
      <w:pPr>
        <w:pStyle w:val="Textoindependiente"/>
        <w:rPr>
          <w:rFonts w:ascii="Calibri" w:hAnsi="Calibri" w:cs="Arial"/>
          <w:color w:val="7F7F7F" w:themeColor="text1" w:themeTint="80"/>
          <w:sz w:val="26"/>
          <w:szCs w:val="27"/>
        </w:rPr>
      </w:pPr>
    </w:p>
    <w:p w:rsidR="00112CDC" w:rsidRPr="00121697" w:rsidRDefault="00112CDC" w:rsidP="00112CDC">
      <w:pPr>
        <w:pStyle w:val="Textoindependiente"/>
        <w:ind w:firstLine="708"/>
        <w:rPr>
          <w:rFonts w:ascii="Calibri" w:hAnsi="Calibri"/>
          <w:color w:val="7F7F7F" w:themeColor="text1" w:themeTint="80"/>
          <w:sz w:val="26"/>
          <w:szCs w:val="27"/>
        </w:rPr>
      </w:pPr>
      <w:r w:rsidRPr="00121697">
        <w:rPr>
          <w:rFonts w:ascii="Calibri" w:hAnsi="Calibri"/>
          <w:color w:val="7F7F7F" w:themeColor="text1" w:themeTint="80"/>
          <w:sz w:val="26"/>
          <w:szCs w:val="27"/>
        </w:rPr>
        <w:t>Por último, a efecto de no cometer violaciones procesales en perjuicio de las partes, en relación a las excepciones y defensas que oponen la autoridad demandada,</w:t>
      </w:r>
      <w:r>
        <w:rPr>
          <w:rFonts w:ascii="Calibri" w:hAnsi="Calibri"/>
          <w:color w:val="7F7F7F" w:themeColor="text1" w:themeTint="80"/>
          <w:sz w:val="26"/>
          <w:szCs w:val="27"/>
        </w:rPr>
        <w:t xml:space="preserve"> Director de Ejecución,</w:t>
      </w:r>
      <w:r w:rsidRPr="00121697">
        <w:rPr>
          <w:rFonts w:ascii="Calibri" w:hAnsi="Calibri"/>
          <w:color w:val="7F7F7F" w:themeColor="text1" w:themeTint="80"/>
          <w:sz w:val="26"/>
          <w:szCs w:val="27"/>
        </w:rPr>
        <w:t xml:space="preserve"> </w:t>
      </w:r>
      <w:proofErr w:type="gramStart"/>
      <w:r w:rsidRPr="00121697">
        <w:rPr>
          <w:rFonts w:ascii="Calibri" w:hAnsi="Calibri"/>
          <w:color w:val="7F7F7F" w:themeColor="text1" w:themeTint="80"/>
          <w:sz w:val="26"/>
          <w:szCs w:val="27"/>
        </w:rPr>
        <w:t>se  expresa</w:t>
      </w:r>
      <w:proofErr w:type="gramEnd"/>
      <w:r w:rsidRPr="00121697">
        <w:rPr>
          <w:rFonts w:ascii="Calibri" w:hAnsi="Calibri"/>
          <w:color w:val="7F7F7F" w:themeColor="text1" w:themeTint="80"/>
          <w:sz w:val="26"/>
          <w:szCs w:val="27"/>
        </w:rPr>
        <w:t xml:space="preserve"> lo siguiente:</w:t>
      </w:r>
      <w:r>
        <w:rPr>
          <w:rFonts w:ascii="Calibri" w:hAnsi="Calibri"/>
          <w:color w:val="7F7F7F" w:themeColor="text1" w:themeTint="80"/>
          <w:sz w:val="26"/>
          <w:szCs w:val="27"/>
        </w:rPr>
        <w:t xml:space="preserve"> . . . . . . . . . . . . . . . . . . </w:t>
      </w:r>
    </w:p>
    <w:p w:rsidR="00112CDC" w:rsidRDefault="00112CDC" w:rsidP="00112CDC">
      <w:pPr>
        <w:pStyle w:val="Textoindependiente"/>
        <w:ind w:firstLine="708"/>
        <w:rPr>
          <w:rFonts w:ascii="Calibri" w:hAnsi="Calibri"/>
          <w:color w:val="FF0000"/>
          <w:sz w:val="26"/>
          <w:szCs w:val="27"/>
        </w:rPr>
      </w:pPr>
    </w:p>
    <w:p w:rsidR="00112CDC" w:rsidRPr="00CB02B2" w:rsidRDefault="00112CDC" w:rsidP="00112CDC">
      <w:pPr>
        <w:pStyle w:val="Textoindependiente"/>
        <w:ind w:firstLine="708"/>
        <w:rPr>
          <w:rFonts w:ascii="Calibri" w:hAnsi="Calibri" w:cs="Calibri"/>
          <w:color w:val="FF0000"/>
          <w:sz w:val="26"/>
          <w:szCs w:val="26"/>
        </w:rPr>
      </w:pPr>
      <w:r w:rsidRPr="00121697">
        <w:rPr>
          <w:rFonts w:ascii="Calibri" w:hAnsi="Calibri" w:cs="Arial"/>
          <w:color w:val="7F7F7F" w:themeColor="text1" w:themeTint="80"/>
          <w:sz w:val="26"/>
          <w:szCs w:val="27"/>
        </w:rPr>
        <w:t>a</w:t>
      </w:r>
      <w:proofErr w:type="gramStart"/>
      <w:r w:rsidRPr="00121697">
        <w:rPr>
          <w:rFonts w:ascii="Calibri" w:hAnsi="Calibri" w:cs="Arial"/>
          <w:color w:val="7F7F7F" w:themeColor="text1" w:themeTint="80"/>
          <w:sz w:val="26"/>
          <w:szCs w:val="27"/>
        </w:rPr>
        <w:t>).-</w:t>
      </w:r>
      <w:proofErr w:type="gramEnd"/>
      <w:r w:rsidRPr="00121697">
        <w:rPr>
          <w:rFonts w:ascii="Calibri" w:hAnsi="Calibri" w:cs="Arial"/>
          <w:color w:val="7F7F7F" w:themeColor="text1" w:themeTint="80"/>
          <w:sz w:val="26"/>
          <w:szCs w:val="27"/>
        </w:rPr>
        <w:t xml:space="preserve"> </w:t>
      </w:r>
      <w:r w:rsidRPr="00B36511">
        <w:rPr>
          <w:rFonts w:ascii="Calibri" w:hAnsi="Calibri" w:cs="Calibri"/>
          <w:color w:val="7F7F7F" w:themeColor="text1" w:themeTint="80"/>
          <w:sz w:val="26"/>
          <w:szCs w:val="26"/>
        </w:rPr>
        <w:t xml:space="preserve">Tocante a la excepción de que los actos impugnados cumplen con los requisitos de existencia y validez, no opera la misma, pues como ya se señaló, al hacerse el estudio correspondiente en este mismo Considerando, el </w:t>
      </w:r>
      <w:r>
        <w:rPr>
          <w:rFonts w:ascii="Calibri" w:hAnsi="Calibri" w:cs="Calibri"/>
          <w:color w:val="7F7F7F" w:themeColor="text1" w:themeTint="80"/>
          <w:sz w:val="26"/>
          <w:szCs w:val="26"/>
        </w:rPr>
        <w:t>requerimiento de pago</w:t>
      </w:r>
      <w:r w:rsidRPr="00B36511">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se </w:t>
      </w:r>
      <w:r w:rsidRPr="00B36511">
        <w:rPr>
          <w:rFonts w:ascii="Calibri" w:hAnsi="Calibri" w:cs="Calibri"/>
          <w:color w:val="7F7F7F" w:themeColor="text1" w:themeTint="80"/>
          <w:sz w:val="26"/>
          <w:szCs w:val="26"/>
        </w:rPr>
        <w:t>emitió con la omisión de un requisito formal, por lo que procedió decretar su nulidad.</w:t>
      </w:r>
      <w:r>
        <w:rPr>
          <w:rFonts w:ascii="Calibri" w:hAnsi="Calibri" w:cs="Calibri"/>
          <w:color w:val="7F7F7F" w:themeColor="text1" w:themeTint="80"/>
          <w:sz w:val="26"/>
          <w:szCs w:val="26"/>
        </w:rPr>
        <w:t xml:space="preserve"> . . . . . . . . . . . . . . . . . . . . . . . . . . . . . . . . . . . . . . . . </w:t>
      </w:r>
    </w:p>
    <w:p w:rsidR="00112CDC" w:rsidRDefault="00112CDC" w:rsidP="00112CDC">
      <w:pPr>
        <w:pStyle w:val="Textoindependiente"/>
        <w:ind w:firstLine="708"/>
        <w:rPr>
          <w:rFonts w:ascii="Calibri" w:hAnsi="Calibri" w:cs="Calibri"/>
          <w:color w:val="FF0000"/>
          <w:sz w:val="26"/>
          <w:szCs w:val="26"/>
        </w:rPr>
      </w:pPr>
    </w:p>
    <w:p w:rsidR="00112CDC" w:rsidRPr="00CB02B2" w:rsidRDefault="00112CDC" w:rsidP="00112CDC">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b).- R</w:t>
      </w:r>
      <w:r w:rsidRPr="00CB02B2">
        <w:rPr>
          <w:rFonts w:ascii="Calibri" w:hAnsi="Calibri" w:cs="Calibri"/>
          <w:color w:val="7F7F7F" w:themeColor="text1" w:themeTint="80"/>
          <w:sz w:val="26"/>
          <w:szCs w:val="26"/>
        </w:rPr>
        <w:t xml:space="preserve">especto de la excepción que deriva del artículo 261, fracción IV, del  Código de Procedimiento y Justicia Administrativa </w:t>
      </w:r>
      <w:r w:rsidRPr="00C14C6C">
        <w:rPr>
          <w:rFonts w:ascii="Calibri" w:hAnsi="Calibri" w:cs="Calibri"/>
          <w:color w:val="7F7F7F" w:themeColor="text1" w:themeTint="80"/>
          <w:sz w:val="26"/>
          <w:szCs w:val="26"/>
        </w:rPr>
        <w:t>para el Estado y los Municipios de Guanajuato,</w:t>
      </w:r>
      <w:r>
        <w:rPr>
          <w:rFonts w:ascii="Calibri" w:hAnsi="Calibri" w:cs="Calibri"/>
          <w:color w:val="7F7F7F" w:themeColor="text1" w:themeTint="80"/>
          <w:sz w:val="26"/>
          <w:szCs w:val="26"/>
        </w:rPr>
        <w:t xml:space="preserve"> y la de prescripción de la acción, tampoco operan, pues como ya se indicó en el Segundo y Cuarto Considerandos de esta misma resolución, la demanda fue presentada dentro del término a que se refiere el artículo 263 del código de la materia. . . . . . . . . . . . . . . . . . . . . . . . . . . . . . . . . . . . . . . . . . . . . . . . . . . . </w:t>
      </w:r>
    </w:p>
    <w:p w:rsidR="00112CDC" w:rsidRDefault="00112CDC" w:rsidP="00112CDC">
      <w:pPr>
        <w:pStyle w:val="Textoindependiente"/>
        <w:ind w:firstLine="708"/>
        <w:rPr>
          <w:rFonts w:ascii="Calibri" w:hAnsi="Calibri" w:cs="Calibri"/>
          <w:color w:val="FF0000"/>
          <w:sz w:val="26"/>
          <w:szCs w:val="26"/>
        </w:rPr>
      </w:pPr>
    </w:p>
    <w:p w:rsidR="00112CDC" w:rsidRDefault="00112CDC" w:rsidP="00112CDC">
      <w:pPr>
        <w:pStyle w:val="Textoindependiente"/>
        <w:ind w:firstLine="708"/>
        <w:rPr>
          <w:rFonts w:ascii="Calibri" w:hAnsi="Calibri" w:cs="Calibri"/>
          <w:color w:val="7F7F7F" w:themeColor="text1" w:themeTint="80"/>
          <w:sz w:val="26"/>
          <w:szCs w:val="26"/>
        </w:rPr>
      </w:pPr>
      <w:proofErr w:type="gramStart"/>
      <w:r w:rsidRPr="00B36511">
        <w:rPr>
          <w:rFonts w:ascii="Calibri" w:hAnsi="Calibri" w:cs="Calibri"/>
          <w:color w:val="7F7F7F" w:themeColor="text1" w:themeTint="80"/>
          <w:sz w:val="26"/>
          <w:szCs w:val="26"/>
        </w:rPr>
        <w:t>c).-</w:t>
      </w:r>
      <w:proofErr w:type="gramEnd"/>
      <w:r w:rsidRPr="00B36511">
        <w:rPr>
          <w:rFonts w:ascii="Calibri" w:hAnsi="Calibri" w:cs="Calibri"/>
          <w:color w:val="7F7F7F" w:themeColor="text1" w:themeTint="80"/>
          <w:sz w:val="26"/>
          <w:szCs w:val="26"/>
        </w:rPr>
        <w:t xml:space="preserve"> De igual manera tampoco opera la defensa de la </w:t>
      </w:r>
      <w:r w:rsidRPr="00B36511">
        <w:rPr>
          <w:rFonts w:ascii="Calibri" w:hAnsi="Calibri" w:cs="Calibri"/>
          <w:i/>
          <w:color w:val="7F7F7F" w:themeColor="text1" w:themeTint="80"/>
          <w:sz w:val="26"/>
          <w:szCs w:val="26"/>
        </w:rPr>
        <w:t xml:space="preserve">“Non </w:t>
      </w:r>
      <w:proofErr w:type="spellStart"/>
      <w:r w:rsidRPr="00B36511">
        <w:rPr>
          <w:rFonts w:ascii="Calibri" w:hAnsi="Calibri" w:cs="Calibri"/>
          <w:i/>
          <w:color w:val="7F7F7F" w:themeColor="text1" w:themeTint="80"/>
          <w:sz w:val="26"/>
          <w:szCs w:val="26"/>
        </w:rPr>
        <w:t>Mutati</w:t>
      </w:r>
      <w:proofErr w:type="spellEnd"/>
      <w:r w:rsidRPr="00B36511">
        <w:rPr>
          <w:rFonts w:ascii="Calibri" w:hAnsi="Calibri" w:cs="Calibri"/>
          <w:i/>
          <w:color w:val="7F7F7F" w:themeColor="text1" w:themeTint="80"/>
          <w:sz w:val="26"/>
          <w:szCs w:val="26"/>
        </w:rPr>
        <w:t xml:space="preserve"> </w:t>
      </w:r>
      <w:proofErr w:type="spellStart"/>
      <w:r w:rsidRPr="00B36511">
        <w:rPr>
          <w:rFonts w:ascii="Calibri" w:hAnsi="Calibri" w:cs="Calibri"/>
          <w:i/>
          <w:color w:val="7F7F7F" w:themeColor="text1" w:themeTint="80"/>
          <w:sz w:val="26"/>
          <w:szCs w:val="26"/>
        </w:rPr>
        <w:t>Libeli</w:t>
      </w:r>
      <w:proofErr w:type="spellEnd"/>
      <w:r w:rsidRPr="00B36511">
        <w:rPr>
          <w:rFonts w:ascii="Calibri" w:hAnsi="Calibri" w:cs="Calibri"/>
          <w:i/>
          <w:color w:val="7F7F7F" w:themeColor="text1" w:themeTint="80"/>
          <w:sz w:val="26"/>
          <w:szCs w:val="26"/>
        </w:rPr>
        <w:t>”</w:t>
      </w:r>
      <w:r w:rsidRPr="00B36511">
        <w:rPr>
          <w:rFonts w:ascii="Calibri" w:hAnsi="Calibri" w:cs="Calibri"/>
          <w:color w:val="7F7F7F" w:themeColor="text1" w:themeTint="80"/>
          <w:sz w:val="26"/>
          <w:szCs w:val="26"/>
        </w:rPr>
        <w:t xml:space="preserve">,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w:t>
      </w:r>
      <w:r>
        <w:rPr>
          <w:rFonts w:ascii="Calibri" w:hAnsi="Calibri" w:cs="Calibri"/>
          <w:color w:val="7F7F7F" w:themeColor="text1" w:themeTint="80"/>
          <w:sz w:val="26"/>
          <w:szCs w:val="26"/>
        </w:rPr>
        <w:t xml:space="preserve">. </w:t>
      </w:r>
    </w:p>
    <w:p w:rsidR="00112CDC" w:rsidRDefault="00112CDC" w:rsidP="00112CDC">
      <w:pPr>
        <w:pStyle w:val="Textoindependiente"/>
        <w:ind w:firstLine="708"/>
        <w:rPr>
          <w:rFonts w:ascii="Calibri" w:hAnsi="Calibri" w:cs="Calibri"/>
          <w:color w:val="7F7F7F" w:themeColor="text1" w:themeTint="80"/>
          <w:sz w:val="26"/>
          <w:szCs w:val="26"/>
        </w:rPr>
      </w:pPr>
    </w:p>
    <w:p w:rsidR="00112CDC" w:rsidRPr="00B36511" w:rsidRDefault="00112CDC" w:rsidP="00112CDC">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No desprendiéndose a juicio de este juzgador, ninguna otra excepción de lo narrado en el escrito de contestación de demanda. . . . . . . . . . . . . . . . . . . . . . . . </w:t>
      </w:r>
    </w:p>
    <w:p w:rsidR="00112CDC" w:rsidRPr="00CE4C04" w:rsidRDefault="00112CDC" w:rsidP="00112CDC">
      <w:pPr>
        <w:jc w:val="both"/>
        <w:rPr>
          <w:rFonts w:ascii="Calibri" w:hAnsi="Calibri"/>
          <w:color w:val="7F7F7F" w:themeColor="text1" w:themeTint="80"/>
          <w:sz w:val="26"/>
          <w:szCs w:val="26"/>
          <w:lang w:val="es-MX"/>
        </w:rPr>
      </w:pPr>
    </w:p>
    <w:p w:rsidR="00112CDC" w:rsidRPr="00F60464" w:rsidRDefault="00112CDC" w:rsidP="00112CDC">
      <w:pPr>
        <w:pStyle w:val="Textoindependiente"/>
        <w:ind w:firstLine="708"/>
        <w:rPr>
          <w:rFonts w:ascii="Calibri" w:hAnsi="Calibri" w:cs="Arial"/>
          <w:color w:val="7F7F7F" w:themeColor="text1" w:themeTint="80"/>
          <w:sz w:val="26"/>
          <w:szCs w:val="26"/>
        </w:rPr>
      </w:pPr>
      <w:proofErr w:type="gramStart"/>
      <w:r w:rsidRPr="005376D4">
        <w:rPr>
          <w:rFonts w:ascii="Calibri" w:hAnsi="Calibri"/>
          <w:b/>
          <w:i/>
          <w:color w:val="7F7F7F" w:themeColor="text1" w:themeTint="80"/>
          <w:sz w:val="26"/>
        </w:rPr>
        <w:t>SÉPTIMO.-</w:t>
      </w:r>
      <w:proofErr w:type="gramEnd"/>
      <w:r w:rsidRPr="005376D4">
        <w:rPr>
          <w:rFonts w:ascii="Calibri" w:hAnsi="Calibri"/>
          <w:b/>
          <w:i/>
          <w:color w:val="7F7F7F" w:themeColor="text1" w:themeTint="80"/>
          <w:sz w:val="26"/>
        </w:rPr>
        <w:t xml:space="preserve"> </w:t>
      </w:r>
      <w:r>
        <w:rPr>
          <w:rFonts w:ascii="Calibri" w:hAnsi="Calibri" w:cs="Arial"/>
          <w:color w:val="7F7F7F" w:themeColor="text1" w:themeTint="80"/>
          <w:sz w:val="26"/>
          <w:szCs w:val="27"/>
        </w:rPr>
        <w:t>En virtud de que el p</w:t>
      </w:r>
      <w:r w:rsidRPr="005376D4">
        <w:rPr>
          <w:rFonts w:ascii="Calibri" w:hAnsi="Calibri" w:cs="Arial"/>
          <w:color w:val="7F7F7F" w:themeColor="text1" w:themeTint="80"/>
          <w:sz w:val="26"/>
          <w:szCs w:val="27"/>
        </w:rPr>
        <w:t>rimero de los conceptos de impugnación analizado, resultó fundado y es suficiente para declarar la nulidad total de</w:t>
      </w:r>
      <w:r>
        <w:rPr>
          <w:rFonts w:ascii="Calibri" w:hAnsi="Calibri" w:cs="Arial"/>
          <w:color w:val="7F7F7F" w:themeColor="text1" w:themeTint="80"/>
          <w:sz w:val="26"/>
          <w:szCs w:val="27"/>
        </w:rPr>
        <w:t xml:space="preserve"> </w:t>
      </w:r>
      <w:r w:rsidRPr="005376D4">
        <w:rPr>
          <w:rFonts w:ascii="Calibri" w:hAnsi="Calibri" w:cs="Arial"/>
          <w:color w:val="7F7F7F" w:themeColor="text1" w:themeTint="80"/>
          <w:sz w:val="26"/>
          <w:szCs w:val="27"/>
        </w:rPr>
        <w:t xml:space="preserve">los actos impugnados; resulta innecesario el estudio de los restantes esgrimidos por el justiciable, ya que su análisis no afectaría ni variaría el sentido de esta </w:t>
      </w:r>
      <w:r w:rsidRPr="00F60464">
        <w:rPr>
          <w:rFonts w:ascii="Calibri" w:hAnsi="Calibri" w:cs="Arial"/>
          <w:color w:val="7F7F7F" w:themeColor="text1" w:themeTint="80"/>
          <w:sz w:val="26"/>
          <w:szCs w:val="26"/>
        </w:rPr>
        <w:t xml:space="preserve">resolución. </w:t>
      </w:r>
      <w:r>
        <w:rPr>
          <w:rFonts w:ascii="Calibri" w:hAnsi="Calibri" w:cs="Arial"/>
          <w:color w:val="7F7F7F" w:themeColor="text1" w:themeTint="80"/>
          <w:sz w:val="26"/>
          <w:szCs w:val="26"/>
        </w:rPr>
        <w:t xml:space="preserve">. . . . . . . . . . . . . . . . . . . . . . . . . . . . . . . . . . . . . . . . . . . . . . . . . . . . . . . . . . . </w:t>
      </w:r>
    </w:p>
    <w:p w:rsidR="00112CDC" w:rsidRPr="00F60464" w:rsidRDefault="00112CDC" w:rsidP="00112CDC">
      <w:pPr>
        <w:pStyle w:val="Textoindependiente"/>
        <w:rPr>
          <w:rFonts w:ascii="Calibri" w:hAnsi="Calibri" w:cs="Arial"/>
          <w:color w:val="7F7F7F" w:themeColor="text1" w:themeTint="80"/>
          <w:sz w:val="26"/>
          <w:szCs w:val="26"/>
        </w:rPr>
      </w:pPr>
    </w:p>
    <w:p w:rsidR="00112CDC" w:rsidRPr="00F60464" w:rsidRDefault="00112CDC" w:rsidP="00112CDC">
      <w:pPr>
        <w:pStyle w:val="Textoindependiente"/>
        <w:ind w:firstLine="708"/>
        <w:rPr>
          <w:rFonts w:ascii="Calibri" w:hAnsi="Calibri" w:cs="Arial"/>
          <w:color w:val="7F7F7F" w:themeColor="text1" w:themeTint="80"/>
          <w:sz w:val="26"/>
          <w:szCs w:val="26"/>
        </w:rPr>
      </w:pPr>
      <w:r w:rsidRPr="00F60464">
        <w:rPr>
          <w:rFonts w:ascii="Calibri" w:hAnsi="Calibri" w:cs="Arial"/>
          <w:color w:val="7F7F7F" w:themeColor="text1" w:themeTint="80"/>
          <w:sz w:val="26"/>
          <w:szCs w:val="26"/>
        </w:rPr>
        <w:t xml:space="preserve">Sirve de apoyo a lo anterior la tesis de jurisprudencia que a la letra señala: </w:t>
      </w:r>
    </w:p>
    <w:p w:rsidR="00112CDC" w:rsidRPr="00F60464" w:rsidRDefault="00112CDC" w:rsidP="00112CDC">
      <w:pPr>
        <w:pStyle w:val="Textoindependiente"/>
        <w:ind w:firstLine="708"/>
        <w:rPr>
          <w:rFonts w:ascii="Calibri" w:hAnsi="Calibri" w:cs="Arial"/>
          <w:color w:val="7F7F7F" w:themeColor="text1" w:themeTint="80"/>
          <w:sz w:val="26"/>
          <w:szCs w:val="26"/>
        </w:rPr>
      </w:pPr>
    </w:p>
    <w:p w:rsidR="00112CDC" w:rsidRDefault="00112CDC" w:rsidP="00112CDC">
      <w:pPr>
        <w:pStyle w:val="Textoindependiente"/>
        <w:ind w:firstLine="708"/>
        <w:rPr>
          <w:rFonts w:ascii="Calibri" w:hAnsi="Calibri"/>
          <w:b/>
          <w:bCs/>
          <w:i/>
          <w:iCs/>
          <w:color w:val="7F7F7F" w:themeColor="text1" w:themeTint="80"/>
          <w:sz w:val="26"/>
          <w:szCs w:val="26"/>
        </w:rPr>
      </w:pPr>
    </w:p>
    <w:p w:rsidR="00112CDC" w:rsidRDefault="00112CDC" w:rsidP="00112CDC">
      <w:pPr>
        <w:pStyle w:val="Textoindependiente"/>
        <w:ind w:left="1068"/>
        <w:jc w:val="right"/>
        <w:rPr>
          <w:rFonts w:ascii="Calibri" w:hAnsi="Calibri"/>
          <w:b/>
          <w:color w:val="7F7F7F" w:themeColor="text1" w:themeTint="80"/>
          <w:sz w:val="26"/>
          <w:szCs w:val="27"/>
        </w:rPr>
      </w:pPr>
      <w:r>
        <w:rPr>
          <w:rFonts w:ascii="Calibri" w:hAnsi="Calibri"/>
          <w:b/>
          <w:color w:val="7F7F7F" w:themeColor="text1" w:themeTint="80"/>
          <w:sz w:val="26"/>
          <w:szCs w:val="27"/>
        </w:rPr>
        <w:t>Expediente número 618/2013-JN</w:t>
      </w:r>
    </w:p>
    <w:p w:rsidR="00112CDC" w:rsidRDefault="00112CDC" w:rsidP="00112CDC">
      <w:pPr>
        <w:pStyle w:val="Textoindependiente"/>
        <w:ind w:firstLine="708"/>
        <w:rPr>
          <w:rFonts w:ascii="Calibri" w:hAnsi="Calibri"/>
          <w:b/>
          <w:bCs/>
          <w:i/>
          <w:iCs/>
          <w:color w:val="7F7F7F" w:themeColor="text1" w:themeTint="80"/>
          <w:sz w:val="26"/>
          <w:szCs w:val="26"/>
        </w:rPr>
      </w:pPr>
    </w:p>
    <w:p w:rsidR="00112CDC" w:rsidRPr="001817F1" w:rsidRDefault="00112CDC" w:rsidP="00112CDC">
      <w:pPr>
        <w:pStyle w:val="Textoindependiente"/>
        <w:ind w:firstLine="708"/>
        <w:rPr>
          <w:rFonts w:ascii="Calibri" w:hAnsi="Calibri"/>
          <w:color w:val="7F7F7F" w:themeColor="text1" w:themeTint="80"/>
          <w:sz w:val="22"/>
          <w:szCs w:val="22"/>
        </w:rPr>
      </w:pPr>
      <w:r w:rsidRPr="00F60464">
        <w:rPr>
          <w:rFonts w:ascii="Calibri" w:hAnsi="Calibri"/>
          <w:b/>
          <w:bCs/>
          <w:i/>
          <w:iCs/>
          <w:color w:val="7F7F7F" w:themeColor="text1" w:themeTint="80"/>
          <w:sz w:val="26"/>
          <w:szCs w:val="26"/>
        </w:rPr>
        <w:t>“</w:t>
      </w:r>
      <w:r w:rsidRPr="005376D4">
        <w:rPr>
          <w:rFonts w:ascii="Calibri" w:hAnsi="Calibri"/>
          <w:b/>
          <w:bCs/>
          <w:i/>
          <w:iCs/>
          <w:color w:val="7F7F7F" w:themeColor="text1" w:themeTint="80"/>
          <w:sz w:val="26"/>
          <w:szCs w:val="27"/>
        </w:rPr>
        <w:t xml:space="preserve">CONCEPTOS DE VIOLACION. CUANDO SU ESTUDIO ES INNECESARIO. </w:t>
      </w:r>
      <w:r w:rsidRPr="005376D4">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376D4">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5376D4">
        <w:rPr>
          <w:rFonts w:ascii="Calibri" w:hAnsi="Calibri"/>
          <w:color w:val="7F7F7F" w:themeColor="text1" w:themeTint="80"/>
          <w:sz w:val="22"/>
          <w:szCs w:val="22"/>
        </w:rPr>
        <w:t xml:space="preserve">Fuente: Semanario Judicial de la Federación. I, </w:t>
      </w:r>
      <w:proofErr w:type="gramStart"/>
      <w:r w:rsidRPr="005376D4">
        <w:rPr>
          <w:rFonts w:ascii="Calibri" w:hAnsi="Calibri"/>
          <w:color w:val="7F7F7F" w:themeColor="text1" w:themeTint="80"/>
          <w:sz w:val="22"/>
          <w:szCs w:val="22"/>
        </w:rPr>
        <w:t>Abril</w:t>
      </w:r>
      <w:proofErr w:type="gramEnd"/>
      <w:r w:rsidRPr="005376D4">
        <w:rPr>
          <w:rFonts w:ascii="Calibri" w:hAnsi="Calibri"/>
          <w:color w:val="7F7F7F" w:themeColor="text1" w:themeTint="80"/>
          <w:sz w:val="22"/>
          <w:szCs w:val="22"/>
        </w:rPr>
        <w:t xml:space="preserve"> de 1991. Tesis: V.2o. J/7. Página: 86. Genealogía: Gaceta número 40, Abril de 1991, página 125</w:t>
      </w:r>
      <w:r w:rsidRPr="005376D4">
        <w:rPr>
          <w:rFonts w:ascii="Calibri" w:hAnsi="Calibri"/>
          <w:color w:val="7F7F7F" w:themeColor="text1" w:themeTint="80"/>
          <w:sz w:val="26"/>
          <w:szCs w:val="26"/>
        </w:rPr>
        <w:t xml:space="preserve">. . . . . . . . . . . . . . . . . . . . . . . . . . . </w:t>
      </w:r>
      <w:r>
        <w:rPr>
          <w:rFonts w:ascii="Calibri" w:hAnsi="Calibri"/>
          <w:color w:val="7F7F7F" w:themeColor="text1" w:themeTint="80"/>
          <w:sz w:val="26"/>
          <w:szCs w:val="26"/>
        </w:rPr>
        <w:t xml:space="preserve">. . . . . . </w:t>
      </w:r>
      <w:proofErr w:type="gramStart"/>
      <w:r>
        <w:rPr>
          <w:rFonts w:ascii="Calibri" w:hAnsi="Calibri"/>
          <w:color w:val="7F7F7F" w:themeColor="text1" w:themeTint="80"/>
          <w:sz w:val="26"/>
          <w:szCs w:val="26"/>
        </w:rPr>
        <w:t>. . . .</w:t>
      </w:r>
      <w:proofErr w:type="gramEnd"/>
    </w:p>
    <w:p w:rsidR="00112CDC" w:rsidRPr="00B36511" w:rsidRDefault="00112CDC" w:rsidP="00112CDC">
      <w:pPr>
        <w:pStyle w:val="Textoindependiente"/>
        <w:rPr>
          <w:rFonts w:ascii="Calibri" w:hAnsi="Calibri" w:cs="Arial"/>
          <w:color w:val="7F7F7F" w:themeColor="text1" w:themeTint="80"/>
          <w:sz w:val="26"/>
          <w:szCs w:val="26"/>
          <w:lang w:val="es-ES"/>
        </w:rPr>
      </w:pPr>
    </w:p>
    <w:p w:rsidR="00112CDC" w:rsidRPr="00B97DC4" w:rsidRDefault="00112CDC" w:rsidP="00112CDC">
      <w:pPr>
        <w:pStyle w:val="Textoindependiente"/>
        <w:ind w:firstLine="708"/>
        <w:rPr>
          <w:rFonts w:ascii="Calibri" w:hAnsi="Calibri" w:cs="Arial"/>
          <w:color w:val="7F7F7F" w:themeColor="text1" w:themeTint="80"/>
          <w:sz w:val="26"/>
          <w:szCs w:val="26"/>
        </w:rPr>
      </w:pPr>
      <w:r w:rsidRPr="00F60464">
        <w:rPr>
          <w:rFonts w:ascii="Calibri" w:hAnsi="Calibri" w:cs="Arial"/>
          <w:color w:val="7F7F7F" w:themeColor="text1" w:themeTint="80"/>
          <w:sz w:val="26"/>
          <w:szCs w:val="26"/>
        </w:rPr>
        <w:t xml:space="preserve">Por </w:t>
      </w:r>
      <w:proofErr w:type="gramStart"/>
      <w:r w:rsidRPr="00F60464">
        <w:rPr>
          <w:rFonts w:ascii="Calibri" w:hAnsi="Calibri" w:cs="Arial"/>
          <w:color w:val="7F7F7F" w:themeColor="text1" w:themeTint="80"/>
          <w:sz w:val="26"/>
          <w:szCs w:val="26"/>
        </w:rPr>
        <w:t>lo  anteriormente</w:t>
      </w:r>
      <w:proofErr w:type="gramEnd"/>
      <w:r w:rsidRPr="00F60464">
        <w:rPr>
          <w:rFonts w:ascii="Calibri" w:hAnsi="Calibri" w:cs="Arial"/>
          <w:color w:val="7F7F7F" w:themeColor="text1" w:themeTint="80"/>
          <w:sz w:val="26"/>
          <w:szCs w:val="26"/>
        </w:rPr>
        <w:t xml:space="preserve"> expuesto, y con fundamento además en lo dispuesto en los artículos 249, 261, fracción VI; 262, fracción II; 287, 298, 299, 300, fracción</w:t>
      </w:r>
      <w:r>
        <w:rPr>
          <w:rFonts w:ascii="Calibri" w:hAnsi="Calibri" w:cs="Arial"/>
          <w:color w:val="7F7F7F" w:themeColor="text1" w:themeTint="80"/>
          <w:sz w:val="26"/>
          <w:szCs w:val="26"/>
        </w:rPr>
        <w:t xml:space="preserve"> </w:t>
      </w:r>
      <w:r w:rsidRPr="00F60464">
        <w:rPr>
          <w:rFonts w:ascii="Calibri" w:hAnsi="Calibri" w:cs="Arial"/>
          <w:color w:val="7F7F7F" w:themeColor="text1" w:themeTint="80"/>
          <w:sz w:val="26"/>
          <w:szCs w:val="26"/>
        </w:rPr>
        <w:t xml:space="preserve">II, y 302, fracción II, del </w:t>
      </w:r>
      <w:r w:rsidRPr="00F60464">
        <w:rPr>
          <w:rFonts w:ascii="Calibri" w:hAnsi="Calibri"/>
          <w:color w:val="7F7F7F" w:themeColor="text1" w:themeTint="80"/>
          <w:sz w:val="26"/>
          <w:szCs w:val="26"/>
        </w:rPr>
        <w:t>Cód</w:t>
      </w:r>
      <w:r>
        <w:rPr>
          <w:rFonts w:ascii="Calibri" w:hAnsi="Calibri"/>
          <w:color w:val="7F7F7F" w:themeColor="text1" w:themeTint="80"/>
          <w:sz w:val="26"/>
          <w:szCs w:val="26"/>
        </w:rPr>
        <w:t xml:space="preserve">igo de Procedimiento y Justicia </w:t>
      </w:r>
      <w:r w:rsidRPr="00F60464">
        <w:rPr>
          <w:rFonts w:ascii="Calibri" w:hAnsi="Calibri"/>
          <w:color w:val="7F7F7F" w:themeColor="text1" w:themeTint="80"/>
          <w:sz w:val="26"/>
          <w:szCs w:val="26"/>
        </w:rPr>
        <w:t>Administrativa para el Estado y los Municipios de Guanajuato,</w:t>
      </w:r>
      <w:r w:rsidRPr="00F60464">
        <w:rPr>
          <w:rFonts w:ascii="Calibri" w:hAnsi="Calibri" w:cs="Arial"/>
          <w:color w:val="7F7F7F" w:themeColor="text1" w:themeTint="80"/>
          <w:sz w:val="26"/>
          <w:szCs w:val="26"/>
        </w:rPr>
        <w:t xml:space="preserve"> es de resolverse y se. </w:t>
      </w:r>
      <w:r w:rsidRPr="00F60464">
        <w:rPr>
          <w:rFonts w:ascii="Calibri" w:hAnsi="Calibri"/>
          <w:color w:val="7F7F7F" w:themeColor="text1" w:themeTint="80"/>
          <w:sz w:val="26"/>
          <w:szCs w:val="26"/>
        </w:rPr>
        <w:t xml:space="preserve">. </w:t>
      </w:r>
      <w:r w:rsidRPr="00F60464">
        <w:rPr>
          <w:rFonts w:ascii="Calibri" w:hAnsi="Calibri" w:cs="Arial"/>
          <w:color w:val="7F7F7F" w:themeColor="text1" w:themeTint="80"/>
          <w:sz w:val="26"/>
          <w:szCs w:val="26"/>
        </w:rPr>
        <w:t xml:space="preserve">. . . . . . . . . . . . . . . . </w:t>
      </w:r>
      <w:r>
        <w:rPr>
          <w:rFonts w:ascii="Calibri" w:hAnsi="Calibri" w:cs="Arial"/>
          <w:color w:val="7F7F7F" w:themeColor="text1" w:themeTint="80"/>
          <w:sz w:val="26"/>
          <w:szCs w:val="26"/>
        </w:rPr>
        <w:t xml:space="preserve">. . . . . . . . . . . . . . . . . . . . . . . . . . . . . . . . . . . . . . . . . . . . . . . . . </w:t>
      </w:r>
    </w:p>
    <w:p w:rsidR="00112CDC" w:rsidRPr="00F60464" w:rsidRDefault="00112CDC" w:rsidP="00112CDC">
      <w:pPr>
        <w:pStyle w:val="Textoindependiente"/>
        <w:ind w:firstLine="708"/>
        <w:rPr>
          <w:rFonts w:ascii="Calibri" w:hAnsi="Calibri" w:cs="Arial"/>
          <w:color w:val="7F7F7F" w:themeColor="text1" w:themeTint="80"/>
          <w:sz w:val="26"/>
          <w:szCs w:val="26"/>
        </w:rPr>
      </w:pPr>
    </w:p>
    <w:p w:rsidR="00112CDC" w:rsidRPr="00F60464" w:rsidRDefault="00112CDC" w:rsidP="00112CDC">
      <w:pPr>
        <w:pStyle w:val="Textoindependiente"/>
        <w:jc w:val="center"/>
        <w:rPr>
          <w:rFonts w:ascii="Calibri" w:hAnsi="Calibri" w:cs="Arial"/>
          <w:i/>
          <w:iCs/>
          <w:color w:val="7F7F7F" w:themeColor="text1" w:themeTint="80"/>
          <w:sz w:val="26"/>
          <w:szCs w:val="26"/>
        </w:rPr>
      </w:pPr>
      <w:r w:rsidRPr="00F60464">
        <w:rPr>
          <w:rFonts w:ascii="Calibri" w:hAnsi="Calibri" w:cs="Arial"/>
          <w:b/>
          <w:i/>
          <w:iCs/>
          <w:color w:val="7F7F7F" w:themeColor="text1" w:themeTint="80"/>
          <w:sz w:val="26"/>
          <w:szCs w:val="26"/>
        </w:rPr>
        <w:t xml:space="preserve">R E S U E L V </w:t>
      </w:r>
      <w:proofErr w:type="gramStart"/>
      <w:r w:rsidRPr="00F60464">
        <w:rPr>
          <w:rFonts w:ascii="Calibri" w:hAnsi="Calibri" w:cs="Arial"/>
          <w:b/>
          <w:i/>
          <w:iCs/>
          <w:color w:val="7F7F7F" w:themeColor="text1" w:themeTint="80"/>
          <w:sz w:val="26"/>
          <w:szCs w:val="26"/>
        </w:rPr>
        <w:t xml:space="preserve">E </w:t>
      </w:r>
      <w:r w:rsidRPr="00F60464">
        <w:rPr>
          <w:rFonts w:ascii="Calibri" w:hAnsi="Calibri" w:cs="Arial"/>
          <w:i/>
          <w:iCs/>
          <w:color w:val="7F7F7F" w:themeColor="text1" w:themeTint="80"/>
          <w:sz w:val="26"/>
          <w:szCs w:val="26"/>
        </w:rPr>
        <w:t>:</w:t>
      </w:r>
      <w:proofErr w:type="gramEnd"/>
    </w:p>
    <w:p w:rsidR="00112CDC" w:rsidRPr="00F60464" w:rsidRDefault="00112CDC" w:rsidP="00112CDC">
      <w:pPr>
        <w:pStyle w:val="Textoindependiente"/>
        <w:rPr>
          <w:rFonts w:ascii="Calibri" w:hAnsi="Calibri" w:cs="Arial"/>
          <w:color w:val="7F7F7F" w:themeColor="text1" w:themeTint="80"/>
          <w:sz w:val="26"/>
          <w:szCs w:val="26"/>
        </w:rPr>
      </w:pPr>
    </w:p>
    <w:p w:rsidR="00112CDC" w:rsidRPr="00F60464" w:rsidRDefault="00112CDC" w:rsidP="00112CDC">
      <w:pPr>
        <w:pStyle w:val="Textoindependiente"/>
        <w:ind w:firstLine="708"/>
        <w:rPr>
          <w:rFonts w:ascii="Calibri" w:hAnsi="Calibri" w:cs="Arial"/>
          <w:color w:val="7F7F7F" w:themeColor="text1" w:themeTint="80"/>
          <w:sz w:val="26"/>
          <w:szCs w:val="26"/>
        </w:rPr>
      </w:pPr>
      <w:proofErr w:type="gramStart"/>
      <w:r w:rsidRPr="00F60464">
        <w:rPr>
          <w:rFonts w:ascii="Calibri" w:hAnsi="Calibri" w:cs="Arial"/>
          <w:b/>
          <w:bCs/>
          <w:i/>
          <w:iCs/>
          <w:color w:val="7F7F7F" w:themeColor="text1" w:themeTint="80"/>
          <w:sz w:val="26"/>
          <w:szCs w:val="26"/>
        </w:rPr>
        <w:t>PRIMERO</w:t>
      </w:r>
      <w:r w:rsidRPr="00F60464">
        <w:rPr>
          <w:rFonts w:ascii="Calibri" w:hAnsi="Calibri" w:cs="Arial"/>
          <w:color w:val="7F7F7F" w:themeColor="text1" w:themeTint="80"/>
          <w:sz w:val="26"/>
          <w:szCs w:val="26"/>
        </w:rPr>
        <w:t>.-</w:t>
      </w:r>
      <w:proofErr w:type="gramEnd"/>
      <w:r w:rsidRPr="00F60464">
        <w:rPr>
          <w:rFonts w:ascii="Calibri" w:hAnsi="Calibri" w:cs="Arial"/>
          <w:color w:val="7F7F7F" w:themeColor="text1" w:themeTint="80"/>
          <w:sz w:val="26"/>
          <w:szCs w:val="26"/>
        </w:rPr>
        <w:t xml:space="preserve"> Este Juzgado Segundo Administrativo Municipal resultó competente para conocer y resolver del presente proceso administrativo. . . . . . . </w:t>
      </w:r>
    </w:p>
    <w:p w:rsidR="00112CDC" w:rsidRPr="00F60464" w:rsidRDefault="00112CDC" w:rsidP="00112CDC">
      <w:pPr>
        <w:pStyle w:val="Textoindependiente"/>
        <w:rPr>
          <w:rFonts w:ascii="Calibri" w:hAnsi="Calibri" w:cs="Arial"/>
          <w:color w:val="7F7F7F" w:themeColor="text1" w:themeTint="80"/>
          <w:sz w:val="26"/>
          <w:szCs w:val="26"/>
        </w:rPr>
      </w:pPr>
    </w:p>
    <w:p w:rsidR="00112CDC" w:rsidRDefault="00112CDC" w:rsidP="00112CDC">
      <w:pPr>
        <w:pStyle w:val="Textoindependiente"/>
        <w:ind w:firstLine="708"/>
        <w:rPr>
          <w:rFonts w:ascii="Calibri" w:hAnsi="Calibri" w:cs="Arial"/>
          <w:color w:val="7F7F7F" w:themeColor="text1" w:themeTint="80"/>
          <w:sz w:val="26"/>
          <w:szCs w:val="26"/>
        </w:rPr>
      </w:pPr>
      <w:r w:rsidRPr="00F60464">
        <w:rPr>
          <w:rFonts w:ascii="Calibri" w:hAnsi="Calibri" w:cs="Arial"/>
          <w:b/>
          <w:bCs/>
          <w:i/>
          <w:iCs/>
          <w:color w:val="7F7F7F" w:themeColor="text1" w:themeTint="80"/>
          <w:sz w:val="26"/>
          <w:szCs w:val="26"/>
        </w:rPr>
        <w:t>SEGUNDO.-</w:t>
      </w:r>
      <w:r>
        <w:rPr>
          <w:rFonts w:ascii="Calibri" w:hAnsi="Calibri" w:cs="Arial"/>
          <w:b/>
          <w:bCs/>
          <w:i/>
          <w:iCs/>
          <w:color w:val="7F7F7F" w:themeColor="text1" w:themeTint="80"/>
          <w:sz w:val="26"/>
          <w:szCs w:val="26"/>
        </w:rPr>
        <w:t xml:space="preserve"> </w:t>
      </w:r>
      <w:r w:rsidRPr="00F60464">
        <w:rPr>
          <w:rFonts w:ascii="Calibri" w:hAnsi="Calibri" w:cs="Arial"/>
          <w:bCs/>
          <w:color w:val="7F7F7F" w:themeColor="text1" w:themeTint="80"/>
          <w:sz w:val="26"/>
          <w:szCs w:val="26"/>
        </w:rPr>
        <w:t>Se</w:t>
      </w:r>
      <w:r w:rsidRPr="00F60464">
        <w:rPr>
          <w:rFonts w:ascii="Calibri" w:hAnsi="Calibri" w:cs="Arial"/>
          <w:b/>
          <w:bCs/>
          <w:color w:val="7F7F7F" w:themeColor="text1" w:themeTint="80"/>
          <w:sz w:val="26"/>
          <w:szCs w:val="26"/>
        </w:rPr>
        <w:t xml:space="preserve"> sobresee </w:t>
      </w:r>
      <w:r w:rsidRPr="00F60464">
        <w:rPr>
          <w:rFonts w:ascii="Calibri" w:hAnsi="Calibri" w:cs="Arial"/>
          <w:bCs/>
          <w:color w:val="7F7F7F" w:themeColor="text1" w:themeTint="80"/>
          <w:sz w:val="26"/>
          <w:szCs w:val="26"/>
        </w:rPr>
        <w:t>el presente proceso, respecto de la</w:t>
      </w:r>
      <w:r>
        <w:rPr>
          <w:rFonts w:ascii="Calibri" w:hAnsi="Calibri" w:cs="Arial"/>
          <w:bCs/>
          <w:color w:val="7F7F7F" w:themeColor="text1" w:themeTint="80"/>
          <w:sz w:val="26"/>
          <w:szCs w:val="26"/>
        </w:rPr>
        <w:t>s</w:t>
      </w:r>
      <w:r w:rsidRPr="00F60464">
        <w:rPr>
          <w:rFonts w:ascii="Calibri" w:hAnsi="Calibri" w:cs="Arial"/>
          <w:bCs/>
          <w:color w:val="7F7F7F" w:themeColor="text1" w:themeTint="80"/>
          <w:sz w:val="26"/>
          <w:szCs w:val="26"/>
        </w:rPr>
        <w:t xml:space="preserve"> </w:t>
      </w:r>
      <w:r>
        <w:rPr>
          <w:rFonts w:ascii="Calibri" w:hAnsi="Calibri" w:cs="Arial"/>
          <w:bCs/>
          <w:color w:val="7F7F7F" w:themeColor="text1" w:themeTint="80"/>
          <w:sz w:val="26"/>
          <w:szCs w:val="26"/>
        </w:rPr>
        <w:t xml:space="preserve">autoridades demandadas </w:t>
      </w:r>
      <w:r w:rsidRPr="00B75AE9">
        <w:rPr>
          <w:rFonts w:ascii="Calibri" w:hAnsi="Calibri" w:cs="Arial"/>
          <w:b/>
          <w:bCs/>
          <w:color w:val="7F7F7F" w:themeColor="text1" w:themeTint="80"/>
          <w:sz w:val="26"/>
          <w:szCs w:val="26"/>
        </w:rPr>
        <w:t>Tesorería Municipal</w:t>
      </w:r>
      <w:r>
        <w:rPr>
          <w:rFonts w:ascii="Calibri" w:hAnsi="Calibri" w:cs="Arial"/>
          <w:bCs/>
          <w:color w:val="7F7F7F" w:themeColor="text1" w:themeTint="80"/>
          <w:sz w:val="26"/>
          <w:szCs w:val="26"/>
        </w:rPr>
        <w:t xml:space="preserve"> </w:t>
      </w:r>
      <w:r w:rsidRPr="00F60464">
        <w:rPr>
          <w:rFonts w:ascii="Calibri" w:hAnsi="Calibri" w:cs="Arial"/>
          <w:bCs/>
          <w:color w:val="7F7F7F" w:themeColor="text1" w:themeTint="80"/>
          <w:sz w:val="26"/>
          <w:szCs w:val="26"/>
        </w:rPr>
        <w:t xml:space="preserve">y </w:t>
      </w:r>
      <w:r>
        <w:rPr>
          <w:rFonts w:ascii="Calibri" w:hAnsi="Calibri" w:cs="Arial"/>
          <w:bCs/>
          <w:color w:val="7F7F7F" w:themeColor="text1" w:themeTint="80"/>
          <w:sz w:val="26"/>
          <w:szCs w:val="26"/>
        </w:rPr>
        <w:t xml:space="preserve">de la </w:t>
      </w:r>
      <w:r w:rsidRPr="00B75AE9">
        <w:rPr>
          <w:rFonts w:ascii="Calibri" w:hAnsi="Calibri" w:cs="Arial"/>
          <w:b/>
          <w:bCs/>
          <w:color w:val="7F7F7F" w:themeColor="text1" w:themeTint="80"/>
          <w:sz w:val="26"/>
          <w:szCs w:val="26"/>
        </w:rPr>
        <w:t>Dirección de Impuestos Inmobiliarios</w:t>
      </w:r>
      <w:r w:rsidRPr="00F60464">
        <w:rPr>
          <w:rFonts w:ascii="Calibri" w:hAnsi="Calibri" w:cs="Arial"/>
          <w:bCs/>
          <w:color w:val="7F7F7F" w:themeColor="text1" w:themeTint="80"/>
          <w:sz w:val="26"/>
          <w:szCs w:val="26"/>
        </w:rPr>
        <w:t xml:space="preserve">; </w:t>
      </w:r>
      <w:r>
        <w:rPr>
          <w:rFonts w:ascii="Calibri" w:hAnsi="Calibri" w:cs="Arial"/>
          <w:bCs/>
          <w:color w:val="7F7F7F" w:themeColor="text1" w:themeTint="80"/>
          <w:sz w:val="26"/>
          <w:szCs w:val="26"/>
        </w:rPr>
        <w:t xml:space="preserve">así como de los actos consistentes en el </w:t>
      </w:r>
      <w:r w:rsidRPr="00B75AE9">
        <w:rPr>
          <w:rFonts w:ascii="Calibri" w:hAnsi="Calibri" w:cs="Arial"/>
          <w:b/>
          <w:bCs/>
          <w:color w:val="7F7F7F" w:themeColor="text1" w:themeTint="80"/>
          <w:sz w:val="26"/>
          <w:szCs w:val="26"/>
        </w:rPr>
        <w:t>procedimiento de valuación</w:t>
      </w:r>
      <w:r>
        <w:rPr>
          <w:rFonts w:ascii="Calibri" w:hAnsi="Calibri" w:cs="Arial"/>
          <w:bCs/>
          <w:color w:val="7F7F7F" w:themeColor="text1" w:themeTint="80"/>
          <w:sz w:val="26"/>
          <w:szCs w:val="26"/>
        </w:rPr>
        <w:t xml:space="preserve"> del </w:t>
      </w:r>
      <w:r>
        <w:rPr>
          <w:rFonts w:ascii="Calibri" w:hAnsi="Calibri"/>
          <w:bCs/>
          <w:color w:val="7F7F7F" w:themeColor="text1" w:themeTint="80"/>
          <w:sz w:val="26"/>
          <w:szCs w:val="27"/>
        </w:rPr>
        <w:t xml:space="preserve">inmueble ubicado en calle (.....), con cuenta predial 01-L-000458-003, y por el que, señaló, se modificó el valor fiscal; lo anterior </w:t>
      </w:r>
      <w:r w:rsidRPr="00F60464">
        <w:rPr>
          <w:rFonts w:ascii="Calibri" w:hAnsi="Calibri" w:cs="Arial"/>
          <w:bCs/>
          <w:color w:val="7F7F7F" w:themeColor="text1" w:themeTint="80"/>
          <w:sz w:val="26"/>
          <w:szCs w:val="26"/>
        </w:rPr>
        <w:t xml:space="preserve">en base a </w:t>
      </w:r>
      <w:r w:rsidRPr="00F60464">
        <w:rPr>
          <w:rFonts w:ascii="Calibri" w:hAnsi="Calibri" w:cs="Arial"/>
          <w:color w:val="7F7F7F" w:themeColor="text1" w:themeTint="80"/>
          <w:sz w:val="26"/>
          <w:szCs w:val="26"/>
        </w:rPr>
        <w:t xml:space="preserve">las consideraciones lógicas y jurídicas expresadas en el Considerando Cuarto de la presente resolución. . . . . . </w:t>
      </w:r>
      <w:r>
        <w:rPr>
          <w:rFonts w:ascii="Calibri" w:hAnsi="Calibri" w:cs="Arial"/>
          <w:color w:val="7F7F7F" w:themeColor="text1" w:themeTint="80"/>
          <w:sz w:val="26"/>
          <w:szCs w:val="26"/>
        </w:rPr>
        <w:t xml:space="preserve">. . . . . . . . . . . . . . . . . . . . . . . . . . . . . . . . . . . . . . . . . . . . . . </w:t>
      </w:r>
    </w:p>
    <w:p w:rsidR="00112CDC" w:rsidRPr="00F60464" w:rsidRDefault="00112CDC" w:rsidP="00112CDC">
      <w:pPr>
        <w:pStyle w:val="Textoindependiente"/>
        <w:ind w:firstLine="708"/>
        <w:rPr>
          <w:rFonts w:ascii="Calibri" w:hAnsi="Calibri" w:cs="Arial"/>
          <w:b/>
          <w:bCs/>
          <w:color w:val="7F7F7F" w:themeColor="text1" w:themeTint="80"/>
          <w:sz w:val="26"/>
          <w:szCs w:val="26"/>
        </w:rPr>
      </w:pPr>
    </w:p>
    <w:p w:rsidR="00112CDC" w:rsidRPr="00F60464" w:rsidRDefault="00112CDC" w:rsidP="00112CDC">
      <w:pPr>
        <w:pStyle w:val="Textoindependiente"/>
        <w:ind w:firstLine="708"/>
        <w:rPr>
          <w:rFonts w:ascii="Calibri" w:hAnsi="Calibri" w:cs="Arial"/>
          <w:color w:val="7F7F7F" w:themeColor="text1" w:themeTint="80"/>
          <w:sz w:val="26"/>
          <w:szCs w:val="26"/>
        </w:rPr>
      </w:pPr>
      <w:proofErr w:type="gramStart"/>
      <w:r w:rsidRPr="00F60464">
        <w:rPr>
          <w:rFonts w:ascii="Calibri" w:hAnsi="Calibri" w:cs="Arial"/>
          <w:b/>
          <w:bCs/>
          <w:i/>
          <w:iCs/>
          <w:color w:val="7F7F7F" w:themeColor="text1" w:themeTint="80"/>
          <w:sz w:val="26"/>
          <w:szCs w:val="26"/>
        </w:rPr>
        <w:t>TERCERO.-</w:t>
      </w:r>
      <w:proofErr w:type="gramEnd"/>
      <w:r w:rsidRPr="00F60464">
        <w:rPr>
          <w:rFonts w:ascii="Calibri" w:hAnsi="Calibri" w:cs="Arial"/>
          <w:b/>
          <w:bCs/>
          <w:i/>
          <w:iCs/>
          <w:color w:val="7F7F7F" w:themeColor="text1" w:themeTint="80"/>
          <w:sz w:val="26"/>
          <w:szCs w:val="26"/>
        </w:rPr>
        <w:t xml:space="preserve"> </w:t>
      </w:r>
      <w:r w:rsidRPr="00F60464">
        <w:rPr>
          <w:rFonts w:ascii="Calibri" w:hAnsi="Calibri" w:cs="Arial"/>
          <w:color w:val="7F7F7F" w:themeColor="text1" w:themeTint="80"/>
          <w:sz w:val="26"/>
          <w:szCs w:val="26"/>
        </w:rPr>
        <w:t xml:space="preserve">Resultó procedente el proceso administrativo interpuesto en contra </w:t>
      </w:r>
      <w:r>
        <w:rPr>
          <w:rFonts w:ascii="Calibri" w:hAnsi="Calibri" w:cs="Arial"/>
          <w:color w:val="7F7F7F" w:themeColor="text1" w:themeTint="80"/>
          <w:sz w:val="26"/>
          <w:szCs w:val="26"/>
        </w:rPr>
        <w:t>del</w:t>
      </w:r>
      <w:r w:rsidRPr="00F60464">
        <w:rPr>
          <w:rFonts w:ascii="Calibri" w:hAnsi="Calibri" w:cs="Arial"/>
          <w:color w:val="7F7F7F" w:themeColor="text1" w:themeTint="80"/>
          <w:sz w:val="26"/>
          <w:szCs w:val="26"/>
        </w:rPr>
        <w:t xml:space="preserve"> acto </w:t>
      </w:r>
      <w:r>
        <w:rPr>
          <w:rFonts w:ascii="Calibri" w:hAnsi="Calibri" w:cs="Arial"/>
          <w:color w:val="7F7F7F" w:themeColor="text1" w:themeTint="80"/>
          <w:sz w:val="26"/>
          <w:szCs w:val="26"/>
        </w:rPr>
        <w:t xml:space="preserve">consistente en el requerimiento de pago, emitido por el </w:t>
      </w:r>
      <w:r w:rsidRPr="00F60464">
        <w:rPr>
          <w:rFonts w:ascii="Calibri" w:hAnsi="Calibri" w:cs="Arial"/>
          <w:color w:val="7F7F7F" w:themeColor="text1" w:themeTint="80"/>
          <w:sz w:val="26"/>
          <w:szCs w:val="26"/>
        </w:rPr>
        <w:t xml:space="preserve">Director de Ejecución </w:t>
      </w:r>
      <w:r>
        <w:rPr>
          <w:rFonts w:ascii="Calibri" w:hAnsi="Calibri" w:cs="Arial"/>
          <w:color w:val="7F7F7F" w:themeColor="text1" w:themeTint="80"/>
          <w:sz w:val="26"/>
          <w:szCs w:val="26"/>
        </w:rPr>
        <w:t xml:space="preserve">de la Tesorería Municipal. . . . . . . . . . . . . . . . . . . . . . . . . . . . . . . . . . . . . </w:t>
      </w:r>
    </w:p>
    <w:p w:rsidR="00112CDC" w:rsidRPr="00BF7E6E" w:rsidRDefault="00112CDC" w:rsidP="00112CDC">
      <w:pPr>
        <w:jc w:val="both"/>
        <w:rPr>
          <w:rFonts w:ascii="Calibri" w:hAnsi="Calibri" w:cs="Arial"/>
          <w:b/>
          <w:bCs/>
          <w:i/>
          <w:iCs/>
          <w:color w:val="7F7F7F" w:themeColor="text1" w:themeTint="80"/>
          <w:sz w:val="26"/>
          <w:szCs w:val="26"/>
          <w:lang w:val="es-MX"/>
        </w:rPr>
      </w:pPr>
    </w:p>
    <w:p w:rsidR="00112CDC" w:rsidRPr="00F60464" w:rsidRDefault="00112CDC" w:rsidP="00112CDC">
      <w:pPr>
        <w:ind w:firstLine="708"/>
        <w:jc w:val="both"/>
        <w:rPr>
          <w:rFonts w:ascii="Calibri" w:hAnsi="Calibri"/>
          <w:color w:val="7F7F7F" w:themeColor="text1" w:themeTint="80"/>
          <w:sz w:val="26"/>
          <w:szCs w:val="26"/>
        </w:rPr>
      </w:pPr>
      <w:r w:rsidRPr="00F60464">
        <w:rPr>
          <w:rFonts w:ascii="Calibri" w:hAnsi="Calibri" w:cs="Arial"/>
          <w:b/>
          <w:bCs/>
          <w:i/>
          <w:color w:val="7F7F7F" w:themeColor="text1" w:themeTint="80"/>
          <w:sz w:val="26"/>
          <w:szCs w:val="26"/>
        </w:rPr>
        <w:t xml:space="preserve">CUARTO.- </w:t>
      </w:r>
      <w:r w:rsidRPr="00F60464">
        <w:rPr>
          <w:rFonts w:ascii="Calibri" w:hAnsi="Calibri" w:cs="Arial"/>
          <w:bCs/>
          <w:color w:val="7F7F7F" w:themeColor="text1" w:themeTint="80"/>
          <w:sz w:val="26"/>
          <w:szCs w:val="26"/>
        </w:rPr>
        <w:t>Se</w:t>
      </w:r>
      <w:r w:rsidRPr="00F60464">
        <w:rPr>
          <w:rFonts w:ascii="Calibri" w:hAnsi="Calibri" w:cs="Arial"/>
          <w:b/>
          <w:bCs/>
          <w:color w:val="7F7F7F" w:themeColor="text1" w:themeTint="80"/>
          <w:sz w:val="26"/>
          <w:szCs w:val="26"/>
        </w:rPr>
        <w:t xml:space="preserve"> decreta la nulidad total</w:t>
      </w:r>
      <w:r w:rsidRPr="00F60464">
        <w:rPr>
          <w:rFonts w:ascii="Calibri" w:hAnsi="Calibri" w:cs="Arial"/>
          <w:color w:val="7F7F7F" w:themeColor="text1" w:themeTint="80"/>
          <w:sz w:val="26"/>
          <w:szCs w:val="26"/>
        </w:rPr>
        <w:t xml:space="preserve"> del</w:t>
      </w:r>
      <w:r w:rsidRPr="005376D4">
        <w:rPr>
          <w:rFonts w:ascii="Calibri" w:hAnsi="Calibri"/>
          <w:bCs/>
          <w:color w:val="7F7F7F" w:themeColor="text1" w:themeTint="80"/>
          <w:sz w:val="26"/>
          <w:szCs w:val="27"/>
        </w:rPr>
        <w:t xml:space="preserve"> </w:t>
      </w:r>
      <w:r>
        <w:rPr>
          <w:rFonts w:ascii="Calibri" w:hAnsi="Calibri"/>
          <w:bCs/>
          <w:color w:val="7F7F7F" w:themeColor="text1" w:themeTint="80"/>
          <w:sz w:val="26"/>
          <w:szCs w:val="27"/>
        </w:rPr>
        <w:t xml:space="preserve">requerimiento de pago </w:t>
      </w:r>
      <w:r w:rsidRPr="005376D4">
        <w:rPr>
          <w:rFonts w:ascii="Calibri" w:hAnsi="Calibri"/>
          <w:bCs/>
          <w:color w:val="7F7F7F" w:themeColor="text1" w:themeTint="80"/>
          <w:sz w:val="26"/>
          <w:szCs w:val="27"/>
        </w:rPr>
        <w:t>del impuesto</w:t>
      </w:r>
      <w:r>
        <w:rPr>
          <w:rFonts w:ascii="Calibri" w:hAnsi="Calibri"/>
          <w:bCs/>
          <w:color w:val="7F7F7F" w:themeColor="text1" w:themeTint="80"/>
          <w:sz w:val="26"/>
          <w:szCs w:val="27"/>
        </w:rPr>
        <w:t xml:space="preserve"> predial, </w:t>
      </w:r>
      <w:r w:rsidRPr="005376D4">
        <w:rPr>
          <w:rFonts w:ascii="Calibri" w:hAnsi="Calibri"/>
          <w:bCs/>
          <w:color w:val="7F7F7F" w:themeColor="text1" w:themeTint="80"/>
          <w:sz w:val="26"/>
          <w:szCs w:val="27"/>
        </w:rPr>
        <w:t>identificado co</w:t>
      </w:r>
      <w:r>
        <w:rPr>
          <w:rFonts w:ascii="Calibri" w:hAnsi="Calibri"/>
          <w:bCs/>
          <w:color w:val="7F7F7F" w:themeColor="text1" w:themeTint="80"/>
          <w:sz w:val="26"/>
          <w:szCs w:val="27"/>
        </w:rPr>
        <w:t xml:space="preserve">n el número </w:t>
      </w:r>
      <w:r w:rsidRPr="00B75AE9">
        <w:rPr>
          <w:rFonts w:ascii="Calibri" w:hAnsi="Calibri"/>
          <w:b/>
          <w:bCs/>
          <w:color w:val="7F7F7F" w:themeColor="text1" w:themeTint="80"/>
          <w:sz w:val="26"/>
          <w:szCs w:val="27"/>
        </w:rPr>
        <w:t>PR-2013-00471907</w:t>
      </w:r>
      <w:r w:rsidRPr="005376D4">
        <w:rPr>
          <w:rFonts w:ascii="Calibri" w:hAnsi="Calibri"/>
          <w:bCs/>
          <w:color w:val="7F7F7F" w:themeColor="text1" w:themeTint="80"/>
          <w:sz w:val="26"/>
          <w:szCs w:val="27"/>
        </w:rPr>
        <w:t xml:space="preserve">, emitido el </w:t>
      </w:r>
      <w:r>
        <w:rPr>
          <w:rFonts w:ascii="Calibri" w:hAnsi="Calibri"/>
          <w:bCs/>
          <w:color w:val="7F7F7F" w:themeColor="text1" w:themeTint="80"/>
          <w:sz w:val="26"/>
          <w:szCs w:val="27"/>
        </w:rPr>
        <w:t>día 18  dieciocho de julio del año 2013 dos mil trece</w:t>
      </w:r>
      <w:r w:rsidRPr="005376D4">
        <w:rPr>
          <w:rFonts w:ascii="Calibri" w:hAnsi="Calibri"/>
          <w:bCs/>
          <w:color w:val="7F7F7F" w:themeColor="text1" w:themeTint="80"/>
          <w:sz w:val="26"/>
          <w:szCs w:val="27"/>
        </w:rPr>
        <w:t>,</w:t>
      </w:r>
      <w:r>
        <w:rPr>
          <w:rFonts w:ascii="Calibri" w:hAnsi="Calibri"/>
          <w:bCs/>
          <w:color w:val="7F7F7F" w:themeColor="text1" w:themeTint="80"/>
          <w:sz w:val="26"/>
          <w:szCs w:val="27"/>
        </w:rPr>
        <w:t xml:space="preserve"> </w:t>
      </w:r>
      <w:r w:rsidRPr="005376D4">
        <w:rPr>
          <w:rFonts w:ascii="Calibri" w:hAnsi="Calibri"/>
          <w:color w:val="7F7F7F" w:themeColor="text1" w:themeTint="80"/>
          <w:sz w:val="26"/>
          <w:szCs w:val="26"/>
        </w:rPr>
        <w:t>por la cantidad de $</w:t>
      </w:r>
      <w:r>
        <w:rPr>
          <w:rFonts w:ascii="Calibri" w:hAnsi="Calibri"/>
          <w:color w:val="7F7F7F" w:themeColor="text1" w:themeTint="80"/>
          <w:sz w:val="26"/>
          <w:szCs w:val="26"/>
        </w:rPr>
        <w:t>2,265.49</w:t>
      </w:r>
      <w:r w:rsidRPr="005376D4">
        <w:rPr>
          <w:rFonts w:ascii="Calibri" w:hAnsi="Calibri"/>
          <w:color w:val="7F7F7F" w:themeColor="text1" w:themeTint="80"/>
          <w:sz w:val="26"/>
          <w:szCs w:val="26"/>
        </w:rPr>
        <w:t xml:space="preserve"> (</w:t>
      </w:r>
      <w:r>
        <w:rPr>
          <w:rFonts w:ascii="Calibri" w:hAnsi="Calibri"/>
          <w:color w:val="7F7F7F" w:themeColor="text1" w:themeTint="80"/>
          <w:sz w:val="26"/>
          <w:szCs w:val="26"/>
        </w:rPr>
        <w:t>Dos mil dos</w:t>
      </w:r>
      <w:r w:rsidRPr="005376D4">
        <w:rPr>
          <w:rFonts w:ascii="Calibri" w:hAnsi="Calibri"/>
          <w:color w:val="7F7F7F" w:themeColor="text1" w:themeTint="80"/>
          <w:sz w:val="26"/>
          <w:szCs w:val="26"/>
        </w:rPr>
        <w:t>ciento</w:t>
      </w:r>
      <w:r>
        <w:rPr>
          <w:rFonts w:ascii="Calibri" w:hAnsi="Calibri"/>
          <w:color w:val="7F7F7F" w:themeColor="text1" w:themeTint="80"/>
          <w:sz w:val="26"/>
          <w:szCs w:val="26"/>
        </w:rPr>
        <w:t>s</w:t>
      </w:r>
      <w:r w:rsidRPr="005376D4">
        <w:rPr>
          <w:rFonts w:ascii="Calibri" w:hAnsi="Calibri"/>
          <w:color w:val="7F7F7F" w:themeColor="text1" w:themeTint="80"/>
          <w:sz w:val="26"/>
          <w:szCs w:val="26"/>
        </w:rPr>
        <w:t xml:space="preserve"> </w:t>
      </w:r>
      <w:r>
        <w:rPr>
          <w:rFonts w:ascii="Calibri" w:hAnsi="Calibri"/>
          <w:color w:val="7F7F7F" w:themeColor="text1" w:themeTint="80"/>
          <w:sz w:val="26"/>
          <w:szCs w:val="26"/>
        </w:rPr>
        <w:t>sesenta y cinco pesos</w:t>
      </w:r>
      <w:r w:rsidRPr="005376D4">
        <w:rPr>
          <w:rFonts w:ascii="Calibri" w:hAnsi="Calibri"/>
          <w:color w:val="7F7F7F" w:themeColor="text1" w:themeTint="80"/>
          <w:sz w:val="26"/>
          <w:szCs w:val="26"/>
        </w:rPr>
        <w:t xml:space="preserve"> </w:t>
      </w:r>
      <w:r>
        <w:rPr>
          <w:rFonts w:ascii="Calibri" w:hAnsi="Calibri"/>
          <w:color w:val="7F7F7F" w:themeColor="text1" w:themeTint="80"/>
          <w:sz w:val="26"/>
          <w:szCs w:val="26"/>
        </w:rPr>
        <w:t>49</w:t>
      </w:r>
      <w:r w:rsidRPr="005376D4">
        <w:rPr>
          <w:rFonts w:ascii="Calibri" w:hAnsi="Calibri"/>
          <w:color w:val="7F7F7F" w:themeColor="text1" w:themeTint="80"/>
          <w:sz w:val="26"/>
          <w:szCs w:val="26"/>
        </w:rPr>
        <w:t>/100 Moneda Nacional)</w:t>
      </w:r>
      <w:r w:rsidRPr="00F60464">
        <w:rPr>
          <w:rFonts w:ascii="Calibri" w:hAnsi="Calibri"/>
          <w:color w:val="7F7F7F" w:themeColor="text1" w:themeTint="80"/>
          <w:sz w:val="26"/>
          <w:szCs w:val="26"/>
        </w:rPr>
        <w:t xml:space="preserve">; </w:t>
      </w:r>
      <w:r w:rsidRPr="00F60464">
        <w:rPr>
          <w:rFonts w:ascii="Calibri" w:hAnsi="Calibri" w:cs="Arial"/>
          <w:color w:val="7F7F7F" w:themeColor="text1" w:themeTint="80"/>
          <w:sz w:val="26"/>
          <w:szCs w:val="26"/>
        </w:rPr>
        <w:t xml:space="preserve">atendiendo a las consideraciones lógicas y jurídicas expresadas en el Considerando Sexto de esta </w:t>
      </w:r>
      <w:r>
        <w:rPr>
          <w:rFonts w:ascii="Calibri" w:hAnsi="Calibri" w:cs="Arial"/>
          <w:color w:val="7F7F7F" w:themeColor="text1" w:themeTint="80"/>
          <w:sz w:val="26"/>
          <w:szCs w:val="26"/>
        </w:rPr>
        <w:t xml:space="preserve">misma </w:t>
      </w:r>
      <w:r w:rsidRPr="00F60464">
        <w:rPr>
          <w:rFonts w:ascii="Calibri" w:hAnsi="Calibri" w:cs="Arial"/>
          <w:color w:val="7F7F7F" w:themeColor="text1" w:themeTint="80"/>
          <w:sz w:val="26"/>
          <w:szCs w:val="26"/>
        </w:rPr>
        <w:t>sentencia</w:t>
      </w:r>
      <w:r>
        <w:rPr>
          <w:rFonts w:ascii="Calibri" w:hAnsi="Calibri"/>
          <w:color w:val="7F7F7F" w:themeColor="text1" w:themeTint="80"/>
          <w:sz w:val="26"/>
          <w:szCs w:val="26"/>
        </w:rPr>
        <w:t xml:space="preserve"> . . . . . . . . . . . . . . . . . . . . . . . . . . . . . . . . . . . . . . . . . . . . . . . . . . </w:t>
      </w:r>
    </w:p>
    <w:p w:rsidR="00112CDC" w:rsidRPr="00B45E4B" w:rsidRDefault="00112CDC" w:rsidP="00112CDC">
      <w:pPr>
        <w:pStyle w:val="Textoindependiente"/>
        <w:rPr>
          <w:rFonts w:ascii="Calibri" w:hAnsi="Calibri" w:cs="Calibri"/>
          <w:color w:val="7F7F7F" w:themeColor="text1" w:themeTint="80"/>
          <w:sz w:val="26"/>
          <w:szCs w:val="26"/>
          <w:lang w:val="es-ES"/>
        </w:rPr>
      </w:pPr>
    </w:p>
    <w:p w:rsidR="00112CDC" w:rsidRPr="00F60464" w:rsidRDefault="00112CDC" w:rsidP="00112CDC">
      <w:pPr>
        <w:pStyle w:val="Textoindependiente"/>
        <w:ind w:firstLine="708"/>
        <w:rPr>
          <w:rFonts w:ascii="Calibri" w:hAnsi="Calibri" w:cs="Arial"/>
          <w:color w:val="7F7F7F" w:themeColor="text1" w:themeTint="80"/>
          <w:sz w:val="26"/>
          <w:szCs w:val="26"/>
        </w:rPr>
      </w:pPr>
      <w:r w:rsidRPr="00F60464">
        <w:rPr>
          <w:rFonts w:ascii="Calibri" w:hAnsi="Calibri" w:cs="Arial"/>
          <w:color w:val="7F7F7F" w:themeColor="text1" w:themeTint="80"/>
          <w:sz w:val="26"/>
          <w:szCs w:val="26"/>
        </w:rPr>
        <w:t xml:space="preserve">Notifíquese a las autoridades demandadas por oficio y a la parte actora personalmente. . . . . . . . . . . . . . . . . . . . . . . . . . . . . . . . . . . . . . . . . . . . . . . . . . . </w:t>
      </w:r>
      <w:proofErr w:type="gramStart"/>
      <w:r w:rsidRPr="00F60464">
        <w:rPr>
          <w:rFonts w:ascii="Calibri" w:hAnsi="Calibri" w:cs="Arial"/>
          <w:color w:val="7F7F7F" w:themeColor="text1" w:themeTint="80"/>
          <w:sz w:val="26"/>
          <w:szCs w:val="26"/>
        </w:rPr>
        <w:t>. . . .</w:t>
      </w:r>
      <w:proofErr w:type="gramEnd"/>
      <w:r w:rsidRPr="00F60464">
        <w:rPr>
          <w:rFonts w:ascii="Calibri" w:hAnsi="Calibri" w:cs="Arial"/>
          <w:color w:val="7F7F7F" w:themeColor="text1" w:themeTint="80"/>
          <w:sz w:val="26"/>
          <w:szCs w:val="26"/>
        </w:rPr>
        <w:t xml:space="preserve"> . </w:t>
      </w:r>
    </w:p>
    <w:p w:rsidR="00112CDC" w:rsidRPr="00F60464" w:rsidRDefault="00112CDC" w:rsidP="00112CDC">
      <w:pPr>
        <w:pStyle w:val="Textoindependiente"/>
        <w:rPr>
          <w:rFonts w:ascii="Calibri" w:hAnsi="Calibri" w:cs="Arial"/>
          <w:color w:val="7F7F7F" w:themeColor="text1" w:themeTint="80"/>
          <w:sz w:val="26"/>
          <w:szCs w:val="26"/>
        </w:rPr>
      </w:pPr>
    </w:p>
    <w:p w:rsidR="00112CDC" w:rsidRPr="00F60464" w:rsidRDefault="00112CDC" w:rsidP="00112CDC">
      <w:pPr>
        <w:pStyle w:val="Textoindependiente"/>
        <w:rPr>
          <w:rFonts w:ascii="Calibri" w:hAnsi="Calibri" w:cs="Arial"/>
          <w:b/>
          <w:bCs/>
          <w:color w:val="7F7F7F" w:themeColor="text1" w:themeTint="80"/>
          <w:sz w:val="26"/>
          <w:szCs w:val="26"/>
        </w:rPr>
      </w:pPr>
      <w:r w:rsidRPr="00F60464">
        <w:rPr>
          <w:rFonts w:ascii="Calibri" w:hAnsi="Calibri" w:cs="Arial"/>
          <w:color w:val="7F7F7F" w:themeColor="text1" w:themeTint="80"/>
          <w:sz w:val="26"/>
          <w:szCs w:val="26"/>
        </w:rPr>
        <w:tab/>
        <w:t xml:space="preserve">En su oportunidad, archívese este expediente, como asunto totalmente concluido y </w:t>
      </w:r>
      <w:proofErr w:type="spellStart"/>
      <w:r w:rsidRPr="00F60464">
        <w:rPr>
          <w:rFonts w:ascii="Calibri" w:hAnsi="Calibri" w:cs="Arial"/>
          <w:color w:val="7F7F7F" w:themeColor="text1" w:themeTint="80"/>
          <w:sz w:val="26"/>
          <w:szCs w:val="26"/>
        </w:rPr>
        <w:t>dése</w:t>
      </w:r>
      <w:proofErr w:type="spellEnd"/>
      <w:r w:rsidRPr="00F60464">
        <w:rPr>
          <w:rFonts w:ascii="Calibri" w:hAnsi="Calibri" w:cs="Arial"/>
          <w:color w:val="7F7F7F" w:themeColor="text1" w:themeTint="80"/>
          <w:sz w:val="26"/>
          <w:szCs w:val="26"/>
        </w:rPr>
        <w:t xml:space="preserve"> de baja en el Libro de Registros que se lleva para tal efecto</w:t>
      </w:r>
      <w:proofErr w:type="gramStart"/>
      <w:r w:rsidRPr="00F60464">
        <w:rPr>
          <w:rFonts w:ascii="Calibri" w:hAnsi="Calibri" w:cs="Arial"/>
          <w:color w:val="7F7F7F" w:themeColor="text1" w:themeTint="80"/>
          <w:sz w:val="26"/>
          <w:szCs w:val="26"/>
        </w:rPr>
        <w:t>. . . .</w:t>
      </w:r>
      <w:proofErr w:type="gramEnd"/>
      <w:r w:rsidRPr="00F60464">
        <w:rPr>
          <w:rFonts w:ascii="Calibri" w:hAnsi="Calibri" w:cs="Arial"/>
          <w:color w:val="7F7F7F" w:themeColor="text1" w:themeTint="80"/>
          <w:sz w:val="26"/>
          <w:szCs w:val="26"/>
        </w:rPr>
        <w:t xml:space="preserve"> </w:t>
      </w:r>
      <w:r>
        <w:rPr>
          <w:rFonts w:ascii="Calibri" w:hAnsi="Calibri" w:cs="Arial"/>
          <w:color w:val="7F7F7F" w:themeColor="text1" w:themeTint="80"/>
          <w:sz w:val="26"/>
          <w:szCs w:val="26"/>
        </w:rPr>
        <w:t>.</w:t>
      </w:r>
    </w:p>
    <w:p w:rsidR="00112CDC" w:rsidRPr="00F60464" w:rsidRDefault="00112CDC" w:rsidP="00112CDC">
      <w:pPr>
        <w:pStyle w:val="Textoindependiente"/>
        <w:rPr>
          <w:rFonts w:ascii="Calibri" w:hAnsi="Calibri" w:cs="Arial"/>
          <w:color w:val="7F7F7F" w:themeColor="text1" w:themeTint="80"/>
          <w:sz w:val="26"/>
          <w:szCs w:val="26"/>
        </w:rPr>
      </w:pPr>
    </w:p>
    <w:p w:rsidR="00112CDC" w:rsidRPr="00F60464" w:rsidRDefault="00112CDC" w:rsidP="00112CDC">
      <w:pPr>
        <w:pStyle w:val="Textoindependiente"/>
        <w:ind w:firstLine="708"/>
        <w:rPr>
          <w:rFonts w:ascii="Calibri" w:hAnsi="Calibri"/>
          <w:color w:val="7F7F7F" w:themeColor="text1" w:themeTint="80"/>
          <w:sz w:val="26"/>
          <w:szCs w:val="26"/>
        </w:rPr>
      </w:pPr>
      <w:r w:rsidRPr="00F60464">
        <w:rPr>
          <w:rFonts w:ascii="Calibri" w:hAnsi="Calibri"/>
          <w:color w:val="7F7F7F" w:themeColor="text1" w:themeTint="80"/>
          <w:sz w:val="26"/>
          <w:szCs w:val="26"/>
        </w:rPr>
        <w:t xml:space="preserve">Así lo resolvió y firma el Licenciado </w:t>
      </w:r>
      <w:r w:rsidRPr="00F60464">
        <w:rPr>
          <w:rFonts w:ascii="Calibri" w:hAnsi="Calibri"/>
          <w:b/>
          <w:bCs/>
          <w:color w:val="7F7F7F" w:themeColor="text1" w:themeTint="80"/>
          <w:sz w:val="26"/>
          <w:szCs w:val="26"/>
        </w:rPr>
        <w:t>Ernesto Alejandro Mora Álvarez</w:t>
      </w:r>
      <w:r w:rsidRPr="00F60464">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F60464">
        <w:rPr>
          <w:rFonts w:ascii="Calibri" w:hAnsi="Calibri"/>
          <w:b/>
          <w:bCs/>
          <w:color w:val="7F7F7F" w:themeColor="text1" w:themeTint="80"/>
          <w:sz w:val="26"/>
          <w:szCs w:val="26"/>
        </w:rPr>
        <w:t>María del Rocío Villanueva Sánchez</w:t>
      </w:r>
      <w:r w:rsidRPr="00F60464">
        <w:rPr>
          <w:rFonts w:ascii="Calibri" w:hAnsi="Calibri"/>
          <w:color w:val="7F7F7F" w:themeColor="text1" w:themeTint="80"/>
          <w:sz w:val="26"/>
          <w:szCs w:val="26"/>
        </w:rPr>
        <w:t xml:space="preserve">, quien da fe. . . . . . . . . . . . . . . . . . . . . . . . . . . . . . . . . . . . . . . . . . </w:t>
      </w:r>
    </w:p>
    <w:p w:rsidR="00E033C3" w:rsidRDefault="00112CD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DC"/>
    <w:rsid w:val="00112CDC"/>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C2D4F-6BA7-4FA2-9F07-A021F00E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DC"/>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12CD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2CDC"/>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112CDC"/>
    <w:pPr>
      <w:jc w:val="both"/>
    </w:pPr>
    <w:rPr>
      <w:lang w:val="es-MX"/>
    </w:rPr>
  </w:style>
  <w:style w:type="character" w:customStyle="1" w:styleId="TextoindependienteCar">
    <w:name w:val="Texto independiente Car"/>
    <w:basedOn w:val="Fuentedeprrafopredeter"/>
    <w:link w:val="Textoindependiente"/>
    <w:rsid w:val="00112CDC"/>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112CD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12CDC"/>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iPriority w:val="99"/>
    <w:semiHidden/>
    <w:unhideWhenUsed/>
    <w:rsid w:val="00112C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12CDC"/>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4513</Words>
  <Characters>24824</Characters>
  <Application>Microsoft Office Word</Application>
  <DocSecurity>0</DocSecurity>
  <Lines>206</Lines>
  <Paragraphs>58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León, Guanajuato, a 30 treinta de octubre del año 2015 dos mil quince. . .  </vt:lpstr>
      <vt:lpstr>V I S T O S para dictar sentencia definitiva, los autos del proceso administrati</vt:lpstr>
    </vt:vector>
  </TitlesOfParts>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2018-11-29T16:49:00Z</dcterms:created>
  <dcterms:modified xsi:type="dcterms:W3CDTF">2018-11-29T16:49:00Z</dcterms:modified>
</cp:coreProperties>
</file>